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La vicenda della Sme, il gruppo pubblico più grande e importante dell’industria alimentare, prende avvio negli anni Sessanta. Fino </w:t>
      </w:r>
      <w:proofErr w:type="gramStart"/>
      <w:r>
        <w:rPr>
          <w:rFonts w:ascii="Times New Roman" w:hAnsi="Times New Roman"/>
          <w:sz w:val="28"/>
          <w:szCs w:val="28"/>
        </w:rPr>
        <w:t>ad allora</w:t>
      </w:r>
      <w:proofErr w:type="gramEnd"/>
      <w:r>
        <w:rPr>
          <w:rFonts w:ascii="Times New Roman" w:hAnsi="Times New Roman"/>
          <w:sz w:val="28"/>
          <w:szCs w:val="28"/>
        </w:rPr>
        <w:t>, la Società meridionale di elettricità, poi trasformatasi in Società finanziaria meridionale, dopo la nazionalizzazione dell’energia elettrica e la costituzione dell’Enel,  deteneva una quota di partecipazione dell’87,5 per cento nella SEBI (Società per l’esercizio delle attività agricole e immobiliari), il 65 per cento delle Industrie alimentari e conserviere della Valle di Tronto, e il 9,1 per cento della Cirio.</w:t>
      </w:r>
      <w:r>
        <w:rPr>
          <w:rStyle w:val="Rimandonotaapidipagina"/>
          <w:rFonts w:ascii="Times New Roman" w:hAnsi="Times New Roman"/>
          <w:sz w:val="28"/>
          <w:szCs w:val="28"/>
        </w:rPr>
        <w:footnoteReference w:id="1"/>
      </w:r>
      <w:r>
        <w:rPr>
          <w:rFonts w:ascii="Times New Roman" w:hAnsi="Times New Roman"/>
          <w:sz w:val="28"/>
          <w:szCs w:val="28"/>
        </w:rPr>
        <w:t xml:space="preserve"> </w:t>
      </w:r>
      <w:proofErr w:type="gramStart"/>
      <w:r>
        <w:rPr>
          <w:rFonts w:ascii="Times New Roman" w:hAnsi="Times New Roman"/>
          <w:sz w:val="28"/>
          <w:szCs w:val="28"/>
        </w:rPr>
        <w:t>Ma</w:t>
      </w:r>
      <w:proofErr w:type="gramEnd"/>
      <w:r>
        <w:rPr>
          <w:rFonts w:ascii="Times New Roman" w:hAnsi="Times New Roman"/>
          <w:sz w:val="28"/>
          <w:szCs w:val="28"/>
        </w:rPr>
        <w:t xml:space="preserve"> è nel 1968 che partirà una partecipazione più profonda nel settore. La Sme acquisirà il 35 per cento della Motta e arriverà al 26,4 per cento nella Cirio. In poco tempo, il settore agro-alimentare passerà da una quota del 20,4 per cento del portafoglio azionario </w:t>
      </w:r>
      <w:proofErr w:type="gramStart"/>
      <w:r>
        <w:rPr>
          <w:rFonts w:ascii="Times New Roman" w:hAnsi="Times New Roman"/>
          <w:sz w:val="28"/>
          <w:szCs w:val="28"/>
        </w:rPr>
        <w:t>della</w:t>
      </w:r>
      <w:proofErr w:type="gramEnd"/>
      <w:r>
        <w:rPr>
          <w:rFonts w:ascii="Times New Roman" w:hAnsi="Times New Roman"/>
          <w:sz w:val="28"/>
          <w:szCs w:val="28"/>
        </w:rPr>
        <w:t xml:space="preserve"> società al 36,6 per cento nel 1970 (acquisizione del 50 per cento di Alemagna), al 48,3 per cento nel 1971 (acquisizioni del 50 per cento della Star e del 22,5 per cento della Star Lux, spagnola), al 50 per cento del 1972 (partecipazione al 50 per cento nella Mellin e acquisto del 100 per cento della Società agricola </w:t>
      </w:r>
      <w:proofErr w:type="spellStart"/>
      <w:r>
        <w:rPr>
          <w:rFonts w:ascii="Times New Roman" w:hAnsi="Times New Roman"/>
          <w:sz w:val="28"/>
          <w:szCs w:val="28"/>
        </w:rPr>
        <w:t>Torcino</w:t>
      </w:r>
      <w:proofErr w:type="spellEnd"/>
      <w:r>
        <w:rPr>
          <w:rFonts w:ascii="Times New Roman" w:hAnsi="Times New Roman"/>
          <w:sz w:val="28"/>
          <w:szCs w:val="28"/>
        </w:rPr>
        <w:t>).</w:t>
      </w:r>
      <w:r>
        <w:rPr>
          <w:rStyle w:val="Rimandonotaapidipagina"/>
          <w:rFonts w:ascii="Times New Roman" w:hAnsi="Times New Roman"/>
          <w:sz w:val="28"/>
          <w:szCs w:val="28"/>
        </w:rPr>
        <w:footnoteReference w:id="2"/>
      </w:r>
      <w:r>
        <w:rPr>
          <w:rFonts w:ascii="Times New Roman" w:hAnsi="Times New Roman"/>
          <w:sz w:val="28"/>
          <w:szCs w:val="28"/>
        </w:rPr>
        <w:t xml:space="preserve"> Parallelamente cresce anche il peso del settore della grande distribuzione (già alla fine degli anni Sessanta erano stati acquisiti i Supermercati GS), che arriverà al 17,7 per cento nel 1982, mentre quello alimentare, nello stesso anno sarà del 66,2 per cento. Ciò che si può </w:t>
      </w:r>
      <w:proofErr w:type="gramStart"/>
      <w:r>
        <w:rPr>
          <w:rFonts w:ascii="Times New Roman" w:hAnsi="Times New Roman"/>
          <w:sz w:val="28"/>
          <w:szCs w:val="28"/>
        </w:rPr>
        <w:t>constatare</w:t>
      </w:r>
      <w:proofErr w:type="gramEnd"/>
      <w:r>
        <w:rPr>
          <w:rFonts w:ascii="Times New Roman" w:hAnsi="Times New Roman"/>
          <w:sz w:val="28"/>
          <w:szCs w:val="28"/>
        </w:rPr>
        <w:t xml:space="preserve"> è che dagli anni Settanta l’interesse del gruppo si sposterà sempre di più nel settore industriale rispetto a quello agricolo, interesse testimoniato dall’acquisizione dell’</w:t>
      </w:r>
      <w:proofErr w:type="spellStart"/>
      <w:r>
        <w:rPr>
          <w:rFonts w:ascii="Times New Roman" w:hAnsi="Times New Roman"/>
          <w:sz w:val="28"/>
          <w:szCs w:val="28"/>
        </w:rPr>
        <w:t>Alivar</w:t>
      </w:r>
      <w:proofErr w:type="spellEnd"/>
      <w:r>
        <w:rPr>
          <w:rFonts w:ascii="Times New Roman" w:hAnsi="Times New Roman"/>
          <w:sz w:val="28"/>
          <w:szCs w:val="28"/>
        </w:rPr>
        <w:t xml:space="preserve"> nel biennio 1973-1974. L’</w:t>
      </w:r>
      <w:proofErr w:type="spellStart"/>
      <w:r>
        <w:rPr>
          <w:rFonts w:ascii="Times New Roman" w:hAnsi="Times New Roman"/>
          <w:sz w:val="28"/>
          <w:szCs w:val="28"/>
        </w:rPr>
        <w:t>Alivar</w:t>
      </w:r>
      <w:proofErr w:type="spellEnd"/>
      <w:r>
        <w:rPr>
          <w:rFonts w:ascii="Times New Roman" w:hAnsi="Times New Roman"/>
          <w:sz w:val="28"/>
          <w:szCs w:val="28"/>
        </w:rPr>
        <w:t xml:space="preserve"> costituiva un gruppo </w:t>
      </w:r>
      <w:proofErr w:type="gramStart"/>
      <w:r>
        <w:rPr>
          <w:rFonts w:ascii="Times New Roman" w:hAnsi="Times New Roman"/>
          <w:sz w:val="28"/>
          <w:szCs w:val="28"/>
        </w:rPr>
        <w:t xml:space="preserve">di </w:t>
      </w:r>
      <w:proofErr w:type="gramEnd"/>
      <w:r>
        <w:rPr>
          <w:rFonts w:ascii="Times New Roman" w:hAnsi="Times New Roman"/>
          <w:sz w:val="28"/>
          <w:szCs w:val="28"/>
        </w:rPr>
        <w:t xml:space="preserve">imprese (Pavesi, Pai, </w:t>
      </w:r>
      <w:proofErr w:type="spellStart"/>
      <w:r>
        <w:rPr>
          <w:rFonts w:ascii="Times New Roman" w:hAnsi="Times New Roman"/>
          <w:sz w:val="28"/>
          <w:szCs w:val="28"/>
        </w:rPr>
        <w:t>Bertolli</w:t>
      </w:r>
      <w:proofErr w:type="spellEnd"/>
      <w:r>
        <w:rPr>
          <w:rFonts w:ascii="Times New Roman" w:hAnsi="Times New Roman"/>
          <w:sz w:val="28"/>
          <w:szCs w:val="28"/>
        </w:rPr>
        <w:t xml:space="preserve">, De </w:t>
      </w:r>
      <w:proofErr w:type="spellStart"/>
      <w:r>
        <w:rPr>
          <w:rFonts w:ascii="Times New Roman" w:hAnsi="Times New Roman"/>
          <w:sz w:val="28"/>
          <w:szCs w:val="28"/>
        </w:rPr>
        <w:t>Rica</w:t>
      </w:r>
      <w:proofErr w:type="spellEnd"/>
      <w:r>
        <w:rPr>
          <w:rFonts w:ascii="Times New Roman" w:hAnsi="Times New Roman"/>
          <w:sz w:val="28"/>
          <w:szCs w:val="28"/>
        </w:rPr>
        <w:t xml:space="preserve">, </w:t>
      </w:r>
      <w:proofErr w:type="spellStart"/>
      <w:r>
        <w:rPr>
          <w:rFonts w:ascii="Times New Roman" w:hAnsi="Times New Roman"/>
          <w:sz w:val="28"/>
          <w:szCs w:val="28"/>
        </w:rPr>
        <w:t>Bellentani</w:t>
      </w:r>
      <w:proofErr w:type="spellEnd"/>
      <w:r>
        <w:rPr>
          <w:rFonts w:ascii="Times New Roman" w:hAnsi="Times New Roman"/>
          <w:sz w:val="28"/>
          <w:szCs w:val="28"/>
        </w:rPr>
        <w:t xml:space="preserve">, </w:t>
      </w:r>
      <w:proofErr w:type="spellStart"/>
      <w:r>
        <w:rPr>
          <w:rFonts w:ascii="Times New Roman" w:hAnsi="Times New Roman"/>
          <w:sz w:val="28"/>
          <w:szCs w:val="28"/>
        </w:rPr>
        <w:t>Cipas</w:t>
      </w:r>
      <w:proofErr w:type="spellEnd"/>
      <w:r>
        <w:rPr>
          <w:rFonts w:ascii="Times New Roman" w:hAnsi="Times New Roman"/>
          <w:sz w:val="28"/>
          <w:szCs w:val="28"/>
        </w:rPr>
        <w:t xml:space="preserve">) che abbracciavano vari settori dell’alimentazione oltre a quello ristorativo, con </w:t>
      </w:r>
      <w:proofErr w:type="spellStart"/>
      <w:r>
        <w:rPr>
          <w:rFonts w:ascii="Times New Roman" w:hAnsi="Times New Roman"/>
          <w:sz w:val="28"/>
          <w:szCs w:val="28"/>
        </w:rPr>
        <w:t>Aurogrill</w:t>
      </w:r>
      <w:proofErr w:type="spellEnd"/>
      <w:r>
        <w:rPr>
          <w:rFonts w:ascii="Times New Roman" w:hAnsi="Times New Roman"/>
          <w:sz w:val="28"/>
          <w:szCs w:val="28"/>
        </w:rPr>
        <w:t xml:space="preserve">. </w:t>
      </w:r>
      <w:proofErr w:type="gramStart"/>
      <w:r>
        <w:rPr>
          <w:rFonts w:ascii="Times New Roman" w:hAnsi="Times New Roman"/>
          <w:sz w:val="28"/>
          <w:szCs w:val="28"/>
        </w:rPr>
        <w:t>Ma</w:t>
      </w:r>
      <w:proofErr w:type="gramEnd"/>
      <w:r>
        <w:rPr>
          <w:rFonts w:ascii="Times New Roman" w:hAnsi="Times New Roman"/>
          <w:sz w:val="28"/>
          <w:szCs w:val="28"/>
        </w:rPr>
        <w:t xml:space="preserve"> nonostante tutte le acquisizioni e la crescita dei fatturati, nel 1975 si avranno perdite intorno a quaranta miliardi di lire. È in questo </w:t>
      </w:r>
      <w:proofErr w:type="gramStart"/>
      <w:r>
        <w:rPr>
          <w:rFonts w:ascii="Times New Roman" w:hAnsi="Times New Roman"/>
          <w:sz w:val="28"/>
          <w:szCs w:val="28"/>
        </w:rPr>
        <w:t>contesto</w:t>
      </w:r>
      <w:proofErr w:type="gramEnd"/>
      <w:r>
        <w:rPr>
          <w:rFonts w:ascii="Times New Roman" w:hAnsi="Times New Roman"/>
          <w:sz w:val="28"/>
          <w:szCs w:val="28"/>
        </w:rPr>
        <w:t xml:space="preserve"> che Motta e Alemagna, le due imprese che di più avevano causato perdite, vennero fuse nell’</w:t>
      </w:r>
      <w:proofErr w:type="spellStart"/>
      <w:r>
        <w:rPr>
          <w:rFonts w:ascii="Times New Roman" w:hAnsi="Times New Roman"/>
          <w:sz w:val="28"/>
          <w:szCs w:val="28"/>
        </w:rPr>
        <w:t>Unidal</w:t>
      </w:r>
      <w:proofErr w:type="spellEnd"/>
      <w:r>
        <w:rPr>
          <w:rFonts w:ascii="Times New Roman" w:hAnsi="Times New Roman"/>
          <w:sz w:val="28"/>
          <w:szCs w:val="28"/>
        </w:rPr>
        <w:t xml:space="preserve"> (Unione industrie dolciarie alimentari </w:t>
      </w:r>
      <w:proofErr w:type="spellStart"/>
      <w:r>
        <w:rPr>
          <w:rFonts w:ascii="Times New Roman" w:hAnsi="Times New Roman"/>
          <w:sz w:val="28"/>
          <w:szCs w:val="28"/>
        </w:rPr>
        <w:t>S.p.a.</w:t>
      </w:r>
      <w:proofErr w:type="spellEnd"/>
      <w:r>
        <w:rPr>
          <w:rFonts w:ascii="Times New Roman" w:hAnsi="Times New Roman"/>
          <w:sz w:val="28"/>
          <w:szCs w:val="28"/>
        </w:rPr>
        <w:t xml:space="preserve">) nel 1976; le attività gelatiere del gruppo passano alla </w:t>
      </w:r>
      <w:proofErr w:type="spellStart"/>
      <w:r>
        <w:rPr>
          <w:rFonts w:ascii="Times New Roman" w:hAnsi="Times New Roman"/>
          <w:sz w:val="28"/>
          <w:szCs w:val="28"/>
        </w:rPr>
        <w:lastRenderedPageBreak/>
        <w:t>Tanara</w:t>
      </w:r>
      <w:proofErr w:type="spellEnd"/>
      <w:r>
        <w:rPr>
          <w:rFonts w:ascii="Times New Roman" w:hAnsi="Times New Roman"/>
          <w:sz w:val="28"/>
          <w:szCs w:val="28"/>
        </w:rPr>
        <w:t xml:space="preserve"> S.p.A. che diventa </w:t>
      </w:r>
      <w:proofErr w:type="spellStart"/>
      <w:r>
        <w:rPr>
          <w:rFonts w:ascii="Times New Roman" w:hAnsi="Times New Roman"/>
          <w:sz w:val="28"/>
          <w:szCs w:val="28"/>
        </w:rPr>
        <w:t>Italgel</w:t>
      </w:r>
      <w:proofErr w:type="spellEnd"/>
      <w:r>
        <w:rPr>
          <w:rFonts w:ascii="Times New Roman" w:hAnsi="Times New Roman"/>
          <w:sz w:val="28"/>
          <w:szCs w:val="28"/>
        </w:rPr>
        <w:t xml:space="preserve"> S.p.A., di proprietà del’</w:t>
      </w:r>
      <w:proofErr w:type="spellStart"/>
      <w:r>
        <w:rPr>
          <w:rFonts w:ascii="Times New Roman" w:hAnsi="Times New Roman"/>
          <w:sz w:val="28"/>
          <w:szCs w:val="28"/>
        </w:rPr>
        <w:t>Unidal</w:t>
      </w:r>
      <w:proofErr w:type="spellEnd"/>
      <w:r>
        <w:rPr>
          <w:rFonts w:ascii="Times New Roman" w:hAnsi="Times New Roman"/>
          <w:sz w:val="28"/>
          <w:szCs w:val="28"/>
        </w:rPr>
        <w:t>.</w:t>
      </w:r>
      <w:r>
        <w:rPr>
          <w:rStyle w:val="Rimandonotaapidipagina"/>
          <w:rFonts w:ascii="Times New Roman" w:hAnsi="Times New Roman"/>
          <w:sz w:val="28"/>
          <w:szCs w:val="28"/>
        </w:rPr>
        <w:footnoteReference w:id="3"/>
      </w:r>
      <w:r>
        <w:rPr>
          <w:rFonts w:ascii="Times New Roman" w:hAnsi="Times New Roman"/>
          <w:sz w:val="28"/>
          <w:szCs w:val="28"/>
        </w:rPr>
        <w:t xml:space="preserve"> </w:t>
      </w:r>
      <w:proofErr w:type="gramStart"/>
      <w:r>
        <w:rPr>
          <w:rFonts w:ascii="Times New Roman" w:hAnsi="Times New Roman"/>
          <w:sz w:val="28"/>
          <w:szCs w:val="28"/>
        </w:rPr>
        <w:t>Ma</w:t>
      </w:r>
      <w:proofErr w:type="gramEnd"/>
      <w:r>
        <w:rPr>
          <w:rFonts w:ascii="Times New Roman" w:hAnsi="Times New Roman"/>
          <w:sz w:val="28"/>
          <w:szCs w:val="28"/>
        </w:rPr>
        <w:t xml:space="preserve"> a causa delle forti perdite nel 1977 la società dovette essere messa in liquidazione, progettando di costituire in una nuova società, la </w:t>
      </w:r>
      <w:proofErr w:type="spellStart"/>
      <w:r>
        <w:rPr>
          <w:rFonts w:ascii="Times New Roman" w:hAnsi="Times New Roman"/>
          <w:sz w:val="28"/>
          <w:szCs w:val="28"/>
        </w:rPr>
        <w:t>Sidalm</w:t>
      </w:r>
      <w:proofErr w:type="spellEnd"/>
      <w:r>
        <w:rPr>
          <w:rFonts w:ascii="Times New Roman" w:hAnsi="Times New Roman"/>
          <w:sz w:val="28"/>
          <w:szCs w:val="28"/>
        </w:rPr>
        <w:t>, che avrebbe dovuto controllare le attività sane dell’</w:t>
      </w:r>
      <w:proofErr w:type="spellStart"/>
      <w:r>
        <w:rPr>
          <w:rFonts w:ascii="Times New Roman" w:hAnsi="Times New Roman"/>
          <w:sz w:val="28"/>
          <w:szCs w:val="28"/>
        </w:rPr>
        <w:t>Unidal</w:t>
      </w:r>
      <w:proofErr w:type="spellEnd"/>
      <w:r>
        <w:rPr>
          <w:rFonts w:ascii="Times New Roman" w:hAnsi="Times New Roman"/>
          <w:sz w:val="28"/>
          <w:szCs w:val="28"/>
        </w:rPr>
        <w:t>.</w:t>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È </w:t>
      </w:r>
      <w:proofErr w:type="gramStart"/>
      <w:r>
        <w:rPr>
          <w:rFonts w:ascii="Times New Roman" w:hAnsi="Times New Roman"/>
          <w:sz w:val="28"/>
          <w:szCs w:val="28"/>
        </w:rPr>
        <w:t>nel quadro di</w:t>
      </w:r>
      <w:proofErr w:type="gramEnd"/>
      <w:r>
        <w:rPr>
          <w:rFonts w:ascii="Times New Roman" w:hAnsi="Times New Roman"/>
          <w:sz w:val="28"/>
          <w:szCs w:val="28"/>
        </w:rPr>
        <w:t xml:space="preserve"> generali perdite finanziarie che l’assemblea straordinaria del 1982 decide innanzitutto una riduzione del capitale sociale, ma anche un ruolo più definito del gruppo come una holding di imprese che mantengono una certa autonomia produttiva e gestionale. </w:t>
      </w:r>
      <w:proofErr w:type="gramStart"/>
      <w:r>
        <w:rPr>
          <w:rFonts w:ascii="Times New Roman" w:hAnsi="Times New Roman"/>
          <w:sz w:val="28"/>
          <w:szCs w:val="28"/>
        </w:rPr>
        <w:t xml:space="preserve">La </w:t>
      </w:r>
      <w:proofErr w:type="gramEnd"/>
      <w:r>
        <w:rPr>
          <w:rFonts w:ascii="Times New Roman" w:hAnsi="Times New Roman"/>
          <w:sz w:val="28"/>
          <w:szCs w:val="28"/>
        </w:rPr>
        <w:t>holding avrebbe dovuto seguire la strategia di altri grandi gruppi privati per quanto riguardava, in particolare, i mercati esteri.</w:t>
      </w:r>
      <w:r>
        <w:rPr>
          <w:rStyle w:val="Rimandonotaapidipagina"/>
          <w:rFonts w:ascii="Times New Roman" w:hAnsi="Times New Roman"/>
          <w:sz w:val="28"/>
          <w:szCs w:val="28"/>
        </w:rPr>
        <w:footnoteReference w:id="4"/>
      </w:r>
      <w:r>
        <w:rPr>
          <w:rFonts w:ascii="Times New Roman" w:hAnsi="Times New Roman"/>
          <w:sz w:val="28"/>
          <w:szCs w:val="28"/>
        </w:rPr>
        <w:t xml:space="preserve"> Seguendo questa strategia, dal 1983 l’azienda inizierà ad alienare tutte le attività produttive non legate al settore alimentare distributivo. </w:t>
      </w:r>
      <w:proofErr w:type="gramStart"/>
      <w:r>
        <w:rPr>
          <w:rFonts w:ascii="Times New Roman" w:hAnsi="Times New Roman"/>
          <w:sz w:val="28"/>
          <w:szCs w:val="28"/>
        </w:rPr>
        <w:t>Verranno</w:t>
      </w:r>
      <w:proofErr w:type="gramEnd"/>
      <w:r>
        <w:rPr>
          <w:rFonts w:ascii="Times New Roman" w:hAnsi="Times New Roman"/>
          <w:sz w:val="28"/>
          <w:szCs w:val="28"/>
        </w:rPr>
        <w:t xml:space="preserve"> cedute la </w:t>
      </w:r>
      <w:proofErr w:type="spellStart"/>
      <w:r>
        <w:rPr>
          <w:rFonts w:ascii="Times New Roman" w:hAnsi="Times New Roman"/>
          <w:sz w:val="28"/>
          <w:szCs w:val="28"/>
        </w:rPr>
        <w:t>Bastogi</w:t>
      </w:r>
      <w:proofErr w:type="spellEnd"/>
      <w:r>
        <w:rPr>
          <w:rFonts w:ascii="Times New Roman" w:hAnsi="Times New Roman"/>
          <w:sz w:val="28"/>
          <w:szCs w:val="28"/>
        </w:rPr>
        <w:t>, l’</w:t>
      </w:r>
      <w:proofErr w:type="spellStart"/>
      <w:r>
        <w:rPr>
          <w:rFonts w:ascii="Times New Roman" w:hAnsi="Times New Roman"/>
          <w:sz w:val="28"/>
          <w:szCs w:val="28"/>
        </w:rPr>
        <w:t>Italsider</w:t>
      </w:r>
      <w:proofErr w:type="spellEnd"/>
      <w:r>
        <w:rPr>
          <w:rFonts w:ascii="Times New Roman" w:hAnsi="Times New Roman"/>
          <w:sz w:val="28"/>
          <w:szCs w:val="28"/>
        </w:rPr>
        <w:t xml:space="preserve">, la Tangenziale di Napoli, le società edilizie, il comparto degli accessori di auto e tutto il settore agricolo, mentre l’Iri (che deteneva la proprietà della Sme) avrebbe ceduto alla Sme la gestione della </w:t>
      </w:r>
      <w:proofErr w:type="spellStart"/>
      <w:r>
        <w:rPr>
          <w:rFonts w:ascii="Times New Roman" w:hAnsi="Times New Roman"/>
          <w:sz w:val="28"/>
          <w:szCs w:val="28"/>
        </w:rPr>
        <w:t>Sidalm</w:t>
      </w:r>
      <w:proofErr w:type="spellEnd"/>
      <w:r>
        <w:rPr>
          <w:rFonts w:ascii="Times New Roman" w:hAnsi="Times New Roman"/>
          <w:sz w:val="28"/>
          <w:szCs w:val="28"/>
        </w:rPr>
        <w:t xml:space="preserve">. Del 1984 è la cessione del 50 per cento della Star alla </w:t>
      </w:r>
      <w:proofErr w:type="spellStart"/>
      <w:r>
        <w:rPr>
          <w:rFonts w:ascii="Times New Roman" w:hAnsi="Times New Roman"/>
          <w:sz w:val="28"/>
          <w:szCs w:val="28"/>
        </w:rPr>
        <w:t>Findim</w:t>
      </w:r>
      <w:proofErr w:type="spellEnd"/>
      <w:r>
        <w:rPr>
          <w:rFonts w:ascii="Times New Roman" w:hAnsi="Times New Roman"/>
          <w:sz w:val="28"/>
          <w:szCs w:val="28"/>
        </w:rPr>
        <w:t xml:space="preserve"> </w:t>
      </w:r>
      <w:proofErr w:type="gramStart"/>
      <w:r>
        <w:rPr>
          <w:rFonts w:ascii="Times New Roman" w:hAnsi="Times New Roman"/>
          <w:sz w:val="28"/>
          <w:szCs w:val="28"/>
        </w:rPr>
        <w:t>di</w:t>
      </w:r>
      <w:proofErr w:type="gramEnd"/>
      <w:r>
        <w:rPr>
          <w:rFonts w:ascii="Times New Roman" w:hAnsi="Times New Roman"/>
          <w:sz w:val="28"/>
          <w:szCs w:val="28"/>
        </w:rPr>
        <w:t xml:space="preserve"> Danilo Fossati, ma contemporaneamente acquista il pieno controllo sull’</w:t>
      </w:r>
      <w:proofErr w:type="spellStart"/>
      <w:r>
        <w:rPr>
          <w:rFonts w:ascii="Times New Roman" w:hAnsi="Times New Roman"/>
          <w:sz w:val="28"/>
          <w:szCs w:val="28"/>
        </w:rPr>
        <w:t>Alivar</w:t>
      </w:r>
      <w:proofErr w:type="spellEnd"/>
      <w:r>
        <w:rPr>
          <w:rFonts w:ascii="Times New Roman" w:hAnsi="Times New Roman"/>
          <w:sz w:val="28"/>
          <w:szCs w:val="28"/>
        </w:rPr>
        <w:t>.</w:t>
      </w:r>
      <w:r>
        <w:rPr>
          <w:rStyle w:val="Rimandonotaapidipagina"/>
          <w:rFonts w:ascii="Times New Roman" w:hAnsi="Times New Roman"/>
          <w:sz w:val="28"/>
          <w:szCs w:val="28"/>
        </w:rPr>
        <w:footnoteReference w:id="5"/>
      </w:r>
      <w:r>
        <w:rPr>
          <w:rFonts w:ascii="Times New Roman" w:hAnsi="Times New Roman"/>
          <w:sz w:val="28"/>
          <w:szCs w:val="28"/>
        </w:rPr>
        <w:t xml:space="preserve"> Da questo momento la Sme si sarebbe riorganizzata in cinque settori, che sarebbero durati fino all’ondata di privatizzazioni che avrebbe caratterizzato un netto cambiamento del panorama industriale italiano. Il primo settore era quello delle conserve alimentari, con Cirio, </w:t>
      </w:r>
      <w:proofErr w:type="spellStart"/>
      <w:r>
        <w:rPr>
          <w:rFonts w:ascii="Times New Roman" w:hAnsi="Times New Roman"/>
          <w:sz w:val="28"/>
          <w:szCs w:val="28"/>
        </w:rPr>
        <w:t>Bertolli</w:t>
      </w:r>
      <w:proofErr w:type="spellEnd"/>
      <w:r>
        <w:rPr>
          <w:rFonts w:ascii="Times New Roman" w:hAnsi="Times New Roman"/>
          <w:sz w:val="28"/>
          <w:szCs w:val="28"/>
        </w:rPr>
        <w:t xml:space="preserve">, De </w:t>
      </w:r>
      <w:proofErr w:type="spellStart"/>
      <w:r>
        <w:rPr>
          <w:rFonts w:ascii="Times New Roman" w:hAnsi="Times New Roman"/>
          <w:sz w:val="28"/>
          <w:szCs w:val="28"/>
        </w:rPr>
        <w:t>Rica</w:t>
      </w:r>
      <w:proofErr w:type="spellEnd"/>
      <w:r>
        <w:rPr>
          <w:rFonts w:ascii="Times New Roman" w:hAnsi="Times New Roman"/>
          <w:sz w:val="28"/>
          <w:szCs w:val="28"/>
        </w:rPr>
        <w:t xml:space="preserve">, Società delle conserve alimentari. Il secondo settore comprendeva i gelati e i surgelati, con Motta, Antica gelateria del Corso, Surgela e Valle degli Orti. Il settore dolciario, il terzo, gestiva invece i marchi Motta, Alemagna, Pavesi, Pai. Il quarto settore riguardava la distribuzione moderna con la Società generale supermercati e la </w:t>
      </w:r>
      <w:proofErr w:type="spellStart"/>
      <w:r>
        <w:rPr>
          <w:rFonts w:ascii="Times New Roman" w:hAnsi="Times New Roman"/>
          <w:sz w:val="28"/>
          <w:szCs w:val="28"/>
        </w:rPr>
        <w:t>Sico</w:t>
      </w:r>
      <w:proofErr w:type="spellEnd"/>
      <w:r>
        <w:rPr>
          <w:rFonts w:ascii="Times New Roman" w:hAnsi="Times New Roman"/>
          <w:sz w:val="28"/>
          <w:szCs w:val="28"/>
        </w:rPr>
        <w:t xml:space="preserve">. Il quinto, e ultimo settore, comprendeva la ristorazione, attraverso Autogrill, </w:t>
      </w:r>
      <w:proofErr w:type="spellStart"/>
      <w:r>
        <w:rPr>
          <w:rFonts w:ascii="Times New Roman" w:hAnsi="Times New Roman"/>
          <w:sz w:val="28"/>
          <w:szCs w:val="28"/>
        </w:rPr>
        <w:t>Sirea</w:t>
      </w:r>
      <w:proofErr w:type="spellEnd"/>
      <w:r>
        <w:rPr>
          <w:rFonts w:ascii="Times New Roman" w:hAnsi="Times New Roman"/>
          <w:sz w:val="28"/>
          <w:szCs w:val="28"/>
        </w:rPr>
        <w:t xml:space="preserve">, Esco, che </w:t>
      </w:r>
      <w:proofErr w:type="gramStart"/>
      <w:r>
        <w:rPr>
          <w:rFonts w:ascii="Times New Roman" w:hAnsi="Times New Roman"/>
          <w:sz w:val="28"/>
          <w:szCs w:val="28"/>
        </w:rPr>
        <w:t>utilizzavano</w:t>
      </w:r>
      <w:proofErr w:type="gramEnd"/>
      <w:r>
        <w:rPr>
          <w:rFonts w:ascii="Times New Roman" w:hAnsi="Times New Roman"/>
          <w:sz w:val="28"/>
          <w:szCs w:val="28"/>
        </w:rPr>
        <w:t xml:space="preserve"> anche la rete dei Ciao della Pavesi.</w:t>
      </w:r>
      <w:r>
        <w:rPr>
          <w:rStyle w:val="Rimandonotaapidipagina"/>
          <w:rFonts w:ascii="Times New Roman" w:hAnsi="Times New Roman"/>
          <w:sz w:val="28"/>
          <w:szCs w:val="28"/>
        </w:rPr>
        <w:footnoteReference w:id="6"/>
      </w:r>
      <w:r>
        <w:rPr>
          <w:rFonts w:ascii="Times New Roman" w:hAnsi="Times New Roman"/>
          <w:sz w:val="28"/>
          <w:szCs w:val="28"/>
        </w:rPr>
        <w:t xml:space="preserve"> In questo </w:t>
      </w:r>
      <w:proofErr w:type="gramStart"/>
      <w:r>
        <w:rPr>
          <w:rFonts w:ascii="Times New Roman" w:hAnsi="Times New Roman"/>
          <w:sz w:val="28"/>
          <w:szCs w:val="28"/>
        </w:rPr>
        <w:t>contesto</w:t>
      </w:r>
      <w:proofErr w:type="gramEnd"/>
      <w:r>
        <w:rPr>
          <w:rFonts w:ascii="Times New Roman" w:hAnsi="Times New Roman"/>
          <w:sz w:val="28"/>
          <w:szCs w:val="28"/>
        </w:rPr>
        <w:t xml:space="preserve"> nasce già agli inizi degli anni Ottanta l’idea di creare un gruppo pubblico-privato, che sarà poi concretizzata nel 1985, col </w:t>
      </w:r>
      <w:r>
        <w:rPr>
          <w:rFonts w:ascii="Times New Roman" w:hAnsi="Times New Roman"/>
          <w:sz w:val="28"/>
          <w:szCs w:val="28"/>
        </w:rPr>
        <w:lastRenderedPageBreak/>
        <w:t xml:space="preserve">governo Craxi, attraverso la messa in vendita del settore pubblico agro-alimentare. Dopo un rifiuto da parte di Barilla, di Ferrero, di Fossati e di Berlusconi all’acquisizione della SME-SIDALM, arrivò l’iniziativa della </w:t>
      </w:r>
      <w:proofErr w:type="spellStart"/>
      <w:r>
        <w:rPr>
          <w:rFonts w:ascii="Times New Roman" w:hAnsi="Times New Roman"/>
          <w:sz w:val="28"/>
          <w:szCs w:val="28"/>
        </w:rPr>
        <w:t>Cir</w:t>
      </w:r>
      <w:proofErr w:type="spellEnd"/>
      <w:r>
        <w:rPr>
          <w:rFonts w:ascii="Times New Roman" w:hAnsi="Times New Roman"/>
          <w:sz w:val="28"/>
          <w:szCs w:val="28"/>
        </w:rPr>
        <w:t xml:space="preserve"> di Carlo De Benedetti, attraverso la controllata Buitoni (acquistata nel febbraio del 1985). L’accordo, però, annunciato ufficialmente alla fine di aprile 1985, non </w:t>
      </w:r>
      <w:proofErr w:type="gramStart"/>
      <w:r>
        <w:rPr>
          <w:rFonts w:ascii="Times New Roman" w:hAnsi="Times New Roman"/>
          <w:sz w:val="28"/>
          <w:szCs w:val="28"/>
        </w:rPr>
        <w:t>venne</w:t>
      </w:r>
      <w:proofErr w:type="gramEnd"/>
      <w:r>
        <w:rPr>
          <w:rFonts w:ascii="Times New Roman" w:hAnsi="Times New Roman"/>
          <w:sz w:val="28"/>
          <w:szCs w:val="28"/>
        </w:rPr>
        <w:t xml:space="preserve"> mai siglato. Subito dopo l’offerta di acquisto di De Benedetti, infatti, si costituì, come detto in precedenza, lo IAR (Industrie </w:t>
      </w:r>
      <w:proofErr w:type="gramStart"/>
      <w:r>
        <w:rPr>
          <w:rFonts w:ascii="Times New Roman" w:hAnsi="Times New Roman"/>
          <w:sz w:val="28"/>
          <w:szCs w:val="28"/>
        </w:rPr>
        <w:t>Alimentari</w:t>
      </w:r>
      <w:proofErr w:type="gramEnd"/>
      <w:r>
        <w:rPr>
          <w:rFonts w:ascii="Times New Roman" w:hAnsi="Times New Roman"/>
          <w:sz w:val="28"/>
          <w:szCs w:val="28"/>
        </w:rPr>
        <w:t xml:space="preserve"> Riunite), con lo scopo di ostacolare la creazione di una grande holding del settore alimentare in Italia. Secondo gli accordi tra Romano Prodi, allora presidente dell’Iri, e De Benedetti, l’Iri avrebbe venduto il 64,36 per cento della propria partecipazione nel settore alimentare. Buitoni ne avrebbe rilevato il 51 per cento, mentre il restante 13,36 per cento sarebbe andato a Mediobanca e Imi, che avevano assistito le parti.</w:t>
      </w:r>
      <w:r>
        <w:rPr>
          <w:rStyle w:val="Rimandonotaapidipagina"/>
          <w:rFonts w:ascii="Times New Roman" w:hAnsi="Times New Roman"/>
          <w:sz w:val="28"/>
          <w:szCs w:val="28"/>
        </w:rPr>
        <w:footnoteReference w:id="7"/>
      </w:r>
      <w:r>
        <w:rPr>
          <w:rFonts w:ascii="Times New Roman" w:hAnsi="Times New Roman"/>
          <w:sz w:val="28"/>
          <w:szCs w:val="28"/>
        </w:rPr>
        <w:t xml:space="preserve"> L’annuncio di questi accordi provocò critiche e polemiche da varie parti, in particolare dal Partito Socialista e da Bettino Craxi, allora Presidente del Consiglio. Oltre all’offerta da parte della </w:t>
      </w:r>
      <w:proofErr w:type="spellStart"/>
      <w:r>
        <w:rPr>
          <w:rFonts w:ascii="Times New Roman" w:hAnsi="Times New Roman"/>
          <w:sz w:val="28"/>
          <w:szCs w:val="28"/>
        </w:rPr>
        <w:t>Cir</w:t>
      </w:r>
      <w:proofErr w:type="spellEnd"/>
      <w:r>
        <w:rPr>
          <w:rFonts w:ascii="Times New Roman" w:hAnsi="Times New Roman"/>
          <w:sz w:val="28"/>
          <w:szCs w:val="28"/>
        </w:rPr>
        <w:t xml:space="preserve"> e dello IAR, arrivarono anche offerte da parte della Lega delle Cooperative e da </w:t>
      </w:r>
      <w:proofErr w:type="spellStart"/>
      <w:r>
        <w:rPr>
          <w:rFonts w:ascii="Times New Roman" w:hAnsi="Times New Roman"/>
          <w:i/>
          <w:sz w:val="28"/>
          <w:szCs w:val="28"/>
        </w:rPr>
        <w:t>Cofima</w:t>
      </w:r>
      <w:proofErr w:type="spellEnd"/>
      <w:r>
        <w:rPr>
          <w:rFonts w:ascii="Times New Roman" w:hAnsi="Times New Roman"/>
          <w:sz w:val="28"/>
          <w:szCs w:val="28"/>
        </w:rPr>
        <w:t xml:space="preserve">. Il ministro delle Partecipazioni statali, </w:t>
      </w:r>
      <w:proofErr w:type="spellStart"/>
      <w:r>
        <w:rPr>
          <w:rFonts w:ascii="Times New Roman" w:hAnsi="Times New Roman"/>
          <w:sz w:val="28"/>
          <w:szCs w:val="28"/>
        </w:rPr>
        <w:t>Clelio</w:t>
      </w:r>
      <w:proofErr w:type="spellEnd"/>
      <w:r>
        <w:rPr>
          <w:rFonts w:ascii="Times New Roman" w:hAnsi="Times New Roman"/>
          <w:sz w:val="28"/>
          <w:szCs w:val="28"/>
        </w:rPr>
        <w:t xml:space="preserve"> </w:t>
      </w:r>
      <w:proofErr w:type="spellStart"/>
      <w:r>
        <w:rPr>
          <w:rFonts w:ascii="Times New Roman" w:hAnsi="Times New Roman"/>
          <w:sz w:val="28"/>
          <w:szCs w:val="28"/>
        </w:rPr>
        <w:t>Darida</w:t>
      </w:r>
      <w:proofErr w:type="spellEnd"/>
      <w:r>
        <w:rPr>
          <w:rFonts w:ascii="Times New Roman" w:hAnsi="Times New Roman"/>
          <w:sz w:val="28"/>
          <w:szCs w:val="28"/>
        </w:rPr>
        <w:t xml:space="preserve">, democristiano, incaricò l’Iri di eseguire un esame comparativo delle offerte. Giuliano Amato, sottosegretario alla presidenza del Consiglio, e Romano Prodi, dichiararono che l’accordo con Buitoni non era vincolante, perché mancavano le autorizzazioni ministeriali. De Benedetti citò quindi in tribunale l’Iri e iniziò il lunghissimo processo Sme che dopo pochi anni si </w:t>
      </w:r>
      <w:proofErr w:type="gramStart"/>
      <w:r>
        <w:rPr>
          <w:rFonts w:ascii="Times New Roman" w:hAnsi="Times New Roman"/>
          <w:sz w:val="28"/>
          <w:szCs w:val="28"/>
        </w:rPr>
        <w:t>concluse</w:t>
      </w:r>
      <w:proofErr w:type="gramEnd"/>
      <w:r>
        <w:rPr>
          <w:rFonts w:ascii="Times New Roman" w:hAnsi="Times New Roman"/>
          <w:sz w:val="28"/>
          <w:szCs w:val="28"/>
        </w:rPr>
        <w:t xml:space="preserve"> con un nulla di fatto.</w:t>
      </w:r>
      <w:r>
        <w:rPr>
          <w:rStyle w:val="Rimandonotaapidipagina"/>
          <w:rFonts w:ascii="Times New Roman" w:hAnsi="Times New Roman"/>
          <w:sz w:val="28"/>
          <w:szCs w:val="28"/>
        </w:rPr>
        <w:footnoteReference w:id="8"/>
      </w:r>
      <w:r>
        <w:rPr>
          <w:rFonts w:ascii="Times New Roman" w:hAnsi="Times New Roman"/>
          <w:sz w:val="28"/>
          <w:szCs w:val="28"/>
        </w:rPr>
        <w:t xml:space="preserve"> Dopo le rivelazioni del 1995-1996 da parte di Stefania Ariosto, però, </w:t>
      </w:r>
      <w:proofErr w:type="gramStart"/>
      <w:r>
        <w:rPr>
          <w:rFonts w:ascii="Times New Roman" w:hAnsi="Times New Roman"/>
          <w:sz w:val="28"/>
          <w:szCs w:val="28"/>
        </w:rPr>
        <w:t>vennero</w:t>
      </w:r>
      <w:proofErr w:type="gramEnd"/>
      <w:r>
        <w:rPr>
          <w:rFonts w:ascii="Times New Roman" w:hAnsi="Times New Roman"/>
          <w:sz w:val="28"/>
          <w:szCs w:val="28"/>
        </w:rPr>
        <w:t xml:space="preserve"> imputati Silvio Berlusconi, Cesare Previti, Renato Squillante e Attilio Pacifico</w:t>
      </w:r>
      <w:r>
        <w:rPr>
          <w:rStyle w:val="Rimandonotaapidipagina"/>
          <w:rFonts w:ascii="Times New Roman" w:hAnsi="Times New Roman"/>
          <w:sz w:val="28"/>
          <w:szCs w:val="28"/>
        </w:rPr>
        <w:footnoteReference w:id="9"/>
      </w:r>
      <w:r>
        <w:rPr>
          <w:rFonts w:ascii="Times New Roman" w:hAnsi="Times New Roman"/>
          <w:sz w:val="28"/>
          <w:szCs w:val="28"/>
        </w:rPr>
        <w:t>, con l’accusa di aver corrotto i magistrati romani che decisero nel 1985 di bloccare la vendita della Sme.</w:t>
      </w:r>
      <w:r>
        <w:rPr>
          <w:rStyle w:val="Rimandonotaapidipagina"/>
          <w:rFonts w:ascii="Times New Roman" w:hAnsi="Times New Roman"/>
          <w:sz w:val="28"/>
          <w:szCs w:val="28"/>
        </w:rPr>
        <w:footnoteReference w:id="10"/>
      </w:r>
      <w:r>
        <w:rPr>
          <w:rFonts w:ascii="Times New Roman" w:hAnsi="Times New Roman"/>
          <w:sz w:val="28"/>
          <w:szCs w:val="28"/>
        </w:rPr>
        <w:t xml:space="preserve"> Si aprì un lunghissimo </w:t>
      </w:r>
      <w:r>
        <w:rPr>
          <w:rFonts w:ascii="Times New Roman" w:hAnsi="Times New Roman"/>
          <w:sz w:val="28"/>
          <w:szCs w:val="28"/>
        </w:rPr>
        <w:lastRenderedPageBreak/>
        <w:t>dibattimento giudiziario che conobbe alterne vicende e interessò i governi che si succedettero in Italia dalla fine degli anni Novanta fino ai giorni nostri.</w:t>
      </w:r>
      <w:r>
        <w:rPr>
          <w:rStyle w:val="Rimandonotaapidipagina"/>
          <w:rFonts w:ascii="Times New Roman" w:hAnsi="Times New Roman"/>
          <w:sz w:val="28"/>
          <w:szCs w:val="28"/>
        </w:rPr>
        <w:footnoteReference w:id="11"/>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Roberto Villa, amministratore delegato della Buitoni, sostiene che nella vicenda della mancata acquisizione di Sme da parte </w:t>
      </w:r>
      <w:proofErr w:type="gramStart"/>
      <w:r>
        <w:rPr>
          <w:rFonts w:ascii="Times New Roman" w:hAnsi="Times New Roman"/>
          <w:sz w:val="28"/>
          <w:szCs w:val="28"/>
        </w:rPr>
        <w:t>di</w:t>
      </w:r>
      <w:proofErr w:type="gramEnd"/>
      <w:r>
        <w:rPr>
          <w:rFonts w:ascii="Times New Roman" w:hAnsi="Times New Roman"/>
          <w:sz w:val="28"/>
          <w:szCs w:val="28"/>
        </w:rPr>
        <w:t xml:space="preserve"> De Benedetti, sia da attribuirsi non solo a resistenze di certi settori politici, ma anche e soprattutto a diversi interessi che riuscirono a convergere e annullare l’operazione; da un lato le grandi multinazionali che già agivano sul suolo Italiano, in primis BSN, che cercavano di impedire che si costituisse un grande gruppo italiano che avrebbe potuto minacciare le posizioni di queste </w:t>
      </w:r>
      <w:proofErr w:type="spellStart"/>
      <w:r>
        <w:rPr>
          <w:rFonts w:ascii="Times New Roman" w:hAnsi="Times New Roman"/>
          <w:i/>
          <w:sz w:val="28"/>
          <w:szCs w:val="28"/>
        </w:rPr>
        <w:t>corporations</w:t>
      </w:r>
      <w:proofErr w:type="spellEnd"/>
      <w:r>
        <w:rPr>
          <w:rFonts w:ascii="Times New Roman" w:hAnsi="Times New Roman"/>
          <w:sz w:val="28"/>
          <w:szCs w:val="28"/>
        </w:rPr>
        <w:t xml:space="preserve"> nei mercati europei e mondiali; dall’altro quelli che Villa definisce i mercati di nicchia che si sentivano minacciati nelle loro posizioni di leader di settore; terzo elemento, le grandi concentrazioni finanziarie agirono per impedire che si mettessero in atto forze capaci di attrarre finanziamenti e risparmio.</w:t>
      </w:r>
      <w:r>
        <w:rPr>
          <w:rStyle w:val="Rimandonotaapidipagina"/>
          <w:rFonts w:ascii="Times New Roman" w:hAnsi="Times New Roman"/>
          <w:sz w:val="28"/>
          <w:szCs w:val="28"/>
        </w:rPr>
        <w:footnoteReference w:id="12"/>
      </w:r>
      <w:r>
        <w:rPr>
          <w:rFonts w:ascii="Times New Roman" w:hAnsi="Times New Roman"/>
          <w:sz w:val="28"/>
          <w:szCs w:val="28"/>
        </w:rPr>
        <w:t xml:space="preserve"> La privatizzazione comunque avvenne pochi anni dopo; già nel 1990 il processo di </w:t>
      </w:r>
      <w:proofErr w:type="spellStart"/>
      <w:r>
        <w:rPr>
          <w:rFonts w:ascii="Times New Roman" w:hAnsi="Times New Roman"/>
          <w:sz w:val="28"/>
          <w:szCs w:val="28"/>
        </w:rPr>
        <w:t>riaccorpamento</w:t>
      </w:r>
      <w:proofErr w:type="spellEnd"/>
      <w:r>
        <w:rPr>
          <w:rFonts w:ascii="Times New Roman" w:hAnsi="Times New Roman"/>
          <w:sz w:val="28"/>
          <w:szCs w:val="28"/>
        </w:rPr>
        <w:t xml:space="preserve"> e scorporo del settore industriale della Sme avrebbe visto la cessione di pacchetti azionari ai privati: la Barilla, come si è visto, acquisirà il 49 per cento della Pavesi, mentre la </w:t>
      </w:r>
      <w:proofErr w:type="gramStart"/>
      <w:r>
        <w:rPr>
          <w:rFonts w:ascii="Times New Roman" w:hAnsi="Times New Roman"/>
          <w:sz w:val="28"/>
          <w:szCs w:val="28"/>
        </w:rPr>
        <w:t>Park</w:t>
      </w:r>
      <w:proofErr w:type="gramEnd"/>
      <w:r>
        <w:rPr>
          <w:rFonts w:ascii="Times New Roman" w:hAnsi="Times New Roman"/>
          <w:sz w:val="28"/>
          <w:szCs w:val="28"/>
        </w:rPr>
        <w:t xml:space="preserve"> </w:t>
      </w:r>
      <w:proofErr w:type="spellStart"/>
      <w:r>
        <w:rPr>
          <w:rFonts w:ascii="Times New Roman" w:hAnsi="Times New Roman"/>
          <w:sz w:val="28"/>
          <w:szCs w:val="28"/>
        </w:rPr>
        <w:t>Davies</w:t>
      </w:r>
      <w:proofErr w:type="spellEnd"/>
      <w:r>
        <w:rPr>
          <w:rFonts w:ascii="Times New Roman" w:hAnsi="Times New Roman"/>
          <w:sz w:val="28"/>
          <w:szCs w:val="28"/>
        </w:rPr>
        <w:t xml:space="preserve">, del gruppo Warner Lambert , il 49 per cento della Adams. Barilla e Ferrero si sarebbero </w:t>
      </w:r>
      <w:proofErr w:type="gramStart"/>
      <w:r>
        <w:rPr>
          <w:rFonts w:ascii="Times New Roman" w:hAnsi="Times New Roman"/>
          <w:sz w:val="28"/>
          <w:szCs w:val="28"/>
        </w:rPr>
        <w:t>spartiti</w:t>
      </w:r>
      <w:proofErr w:type="gramEnd"/>
      <w:r>
        <w:rPr>
          <w:rFonts w:ascii="Times New Roman" w:hAnsi="Times New Roman"/>
          <w:sz w:val="28"/>
          <w:szCs w:val="28"/>
        </w:rPr>
        <w:t xml:space="preserve"> in parti uguali il 49 per cento della Nuova </w:t>
      </w:r>
      <w:proofErr w:type="spellStart"/>
      <w:r>
        <w:rPr>
          <w:rFonts w:ascii="Times New Roman" w:hAnsi="Times New Roman"/>
          <w:sz w:val="28"/>
          <w:szCs w:val="28"/>
        </w:rPr>
        <w:t>Forneria</w:t>
      </w:r>
      <w:proofErr w:type="spellEnd"/>
      <w:r>
        <w:rPr>
          <w:rFonts w:ascii="Times New Roman" w:hAnsi="Times New Roman"/>
          <w:sz w:val="28"/>
          <w:szCs w:val="28"/>
        </w:rPr>
        <w:t>. Tutto ciò fu il risultato della divisione dell’</w:t>
      </w:r>
      <w:proofErr w:type="spellStart"/>
      <w:r>
        <w:rPr>
          <w:rFonts w:ascii="Times New Roman" w:hAnsi="Times New Roman"/>
          <w:sz w:val="28"/>
          <w:szCs w:val="28"/>
        </w:rPr>
        <w:t>Alivar</w:t>
      </w:r>
      <w:proofErr w:type="spellEnd"/>
      <w:r>
        <w:rPr>
          <w:rFonts w:ascii="Times New Roman" w:hAnsi="Times New Roman"/>
          <w:sz w:val="28"/>
          <w:szCs w:val="28"/>
        </w:rPr>
        <w:t xml:space="preserve">, che doveva puntare </w:t>
      </w:r>
      <w:proofErr w:type="gramStart"/>
      <w:r>
        <w:rPr>
          <w:rFonts w:ascii="Times New Roman" w:hAnsi="Times New Roman"/>
          <w:sz w:val="28"/>
          <w:szCs w:val="28"/>
        </w:rPr>
        <w:t>ad</w:t>
      </w:r>
      <w:proofErr w:type="gramEnd"/>
      <w:r>
        <w:rPr>
          <w:rFonts w:ascii="Times New Roman" w:hAnsi="Times New Roman"/>
          <w:sz w:val="28"/>
          <w:szCs w:val="28"/>
        </w:rPr>
        <w:t xml:space="preserve"> una privatizzazione a pezzi, in cui ogni azienda, leader nel settore di competenza, acquisiva una parte di produzione congeniale ad allargare le proprie quote di mercato, nazionale ed europeo.</w:t>
      </w:r>
      <w:r>
        <w:rPr>
          <w:rStyle w:val="Rimandonotaapidipagina"/>
          <w:rFonts w:ascii="Times New Roman" w:hAnsi="Times New Roman"/>
          <w:sz w:val="28"/>
          <w:szCs w:val="28"/>
        </w:rPr>
        <w:footnoteReference w:id="13"/>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Il processo definitivo di privatizzazione si sarebbe completato nel 1993, </w:t>
      </w:r>
      <w:proofErr w:type="gramStart"/>
      <w:r>
        <w:rPr>
          <w:rFonts w:ascii="Times New Roman" w:hAnsi="Times New Roman"/>
          <w:sz w:val="28"/>
          <w:szCs w:val="28"/>
        </w:rPr>
        <w:t>ma</w:t>
      </w:r>
      <w:proofErr w:type="gramEnd"/>
    </w:p>
    <w:p w:rsidR="000B2C48" w:rsidRDefault="000B2C48" w:rsidP="000B2C48">
      <w:pPr>
        <w:spacing w:after="0" w:line="240" w:lineRule="auto"/>
        <w:jc w:val="both"/>
        <w:rPr>
          <w:rFonts w:ascii="Times New Roman" w:hAnsi="Times New Roman"/>
          <w:sz w:val="24"/>
          <w:szCs w:val="24"/>
        </w:rPr>
      </w:pPr>
      <w:r>
        <w:rPr>
          <w:rFonts w:ascii="Times New Roman" w:hAnsi="Times New Roman"/>
          <w:sz w:val="24"/>
          <w:szCs w:val="24"/>
        </w:rPr>
        <w:t xml:space="preserve">A ben vedere, chi beneficia della dismissione del settore alimentare pubblico da parte dell’Iri sono, da una parte – in misura minimale –, Barilla e Ferrero, la prima acquisendo Pavesi e </w:t>
      </w:r>
      <w:proofErr w:type="gramStart"/>
      <w:r>
        <w:rPr>
          <w:rFonts w:ascii="Times New Roman" w:hAnsi="Times New Roman"/>
          <w:sz w:val="24"/>
          <w:szCs w:val="24"/>
        </w:rPr>
        <w:t>uno</w:t>
      </w:r>
      <w:proofErr w:type="gramEnd"/>
      <w:r>
        <w:rPr>
          <w:rFonts w:ascii="Times New Roman" w:hAnsi="Times New Roman"/>
          <w:sz w:val="24"/>
          <w:szCs w:val="24"/>
        </w:rPr>
        <w:t xml:space="preserve"> quota </w:t>
      </w:r>
      <w:r>
        <w:rPr>
          <w:rFonts w:ascii="Times New Roman" w:hAnsi="Times New Roman"/>
          <w:sz w:val="24"/>
          <w:szCs w:val="24"/>
        </w:rPr>
        <w:lastRenderedPageBreak/>
        <w:t xml:space="preserve">consistente della Nuova </w:t>
      </w:r>
      <w:proofErr w:type="spellStart"/>
      <w:r>
        <w:rPr>
          <w:rFonts w:ascii="Times New Roman" w:hAnsi="Times New Roman"/>
          <w:sz w:val="24"/>
          <w:szCs w:val="24"/>
        </w:rPr>
        <w:t>Forneria</w:t>
      </w:r>
      <w:proofErr w:type="spellEnd"/>
      <w:r>
        <w:rPr>
          <w:rFonts w:ascii="Times New Roman" w:hAnsi="Times New Roman"/>
          <w:sz w:val="24"/>
          <w:szCs w:val="24"/>
        </w:rPr>
        <w:t xml:space="preserve">, la seconda entrando con il 24,5 per cento nella Nuova </w:t>
      </w:r>
      <w:proofErr w:type="spellStart"/>
      <w:r>
        <w:rPr>
          <w:rFonts w:ascii="Times New Roman" w:hAnsi="Times New Roman"/>
          <w:sz w:val="24"/>
          <w:szCs w:val="24"/>
        </w:rPr>
        <w:t>Forneria</w:t>
      </w:r>
      <w:proofErr w:type="spellEnd"/>
      <w:r>
        <w:rPr>
          <w:rFonts w:ascii="Times New Roman" w:hAnsi="Times New Roman"/>
          <w:sz w:val="24"/>
          <w:szCs w:val="24"/>
        </w:rPr>
        <w:t xml:space="preserve">; dall’altra, in maniera consistente, la Nestlé e, per la quota </w:t>
      </w:r>
      <w:proofErr w:type="spellStart"/>
      <w:r>
        <w:rPr>
          <w:rFonts w:ascii="Times New Roman" w:hAnsi="Times New Roman"/>
          <w:sz w:val="24"/>
          <w:szCs w:val="24"/>
        </w:rPr>
        <w:t>Bertolli</w:t>
      </w:r>
      <w:proofErr w:type="spellEnd"/>
      <w:r>
        <w:rPr>
          <w:rFonts w:ascii="Times New Roman" w:hAnsi="Times New Roman"/>
          <w:sz w:val="24"/>
          <w:szCs w:val="24"/>
        </w:rPr>
        <w:t>, l’</w:t>
      </w:r>
      <w:proofErr w:type="spellStart"/>
      <w:r>
        <w:rPr>
          <w:rFonts w:ascii="Times New Roman" w:hAnsi="Times New Roman"/>
          <w:sz w:val="24"/>
          <w:szCs w:val="24"/>
        </w:rPr>
        <w:t>Unilever</w:t>
      </w:r>
      <w:proofErr w:type="spellEnd"/>
      <w:r>
        <w:rPr>
          <w:rFonts w:ascii="Times New Roman" w:hAnsi="Times New Roman"/>
          <w:sz w:val="24"/>
          <w:szCs w:val="24"/>
        </w:rPr>
        <w:t xml:space="preserve">, ovvero le più grandi imprese multinazionali operanti nel settore, che si collocano al vertice della produzione alimentare italiana proprio a partire dai primi anni novanta. Infine, v’è da segnalare come capitali e società finanziarie operanti in altri settori tendano a spostarsi in direzione del settore alimentare: è il caso della </w:t>
      </w:r>
      <w:proofErr w:type="spellStart"/>
      <w:r>
        <w:rPr>
          <w:rFonts w:ascii="Times New Roman" w:hAnsi="Times New Roman"/>
          <w:sz w:val="24"/>
          <w:szCs w:val="24"/>
        </w:rPr>
        <w:t>Fisvi</w:t>
      </w:r>
      <w:proofErr w:type="spellEnd"/>
      <w:r>
        <w:rPr>
          <w:rFonts w:ascii="Times New Roman" w:hAnsi="Times New Roman"/>
          <w:sz w:val="24"/>
          <w:szCs w:val="24"/>
        </w:rPr>
        <w:t xml:space="preserve"> di La Miranda, che acquisisce la </w:t>
      </w:r>
      <w:proofErr w:type="spellStart"/>
      <w:r>
        <w:rPr>
          <w:rFonts w:ascii="Times New Roman" w:hAnsi="Times New Roman"/>
          <w:sz w:val="24"/>
          <w:szCs w:val="24"/>
        </w:rPr>
        <w:t>Cirio-Bertolli-De</w:t>
      </w:r>
      <w:proofErr w:type="spellEnd"/>
      <w:r>
        <w:rPr>
          <w:rFonts w:ascii="Times New Roman" w:hAnsi="Times New Roman"/>
          <w:sz w:val="24"/>
          <w:szCs w:val="24"/>
        </w:rPr>
        <w:t xml:space="preserve"> </w:t>
      </w:r>
      <w:proofErr w:type="spellStart"/>
      <w:r>
        <w:rPr>
          <w:rFonts w:ascii="Times New Roman" w:hAnsi="Times New Roman"/>
          <w:sz w:val="24"/>
          <w:szCs w:val="24"/>
        </w:rPr>
        <w:t>Rica</w:t>
      </w:r>
      <w:proofErr w:type="spellEnd"/>
      <w:r>
        <w:rPr>
          <w:rFonts w:ascii="Times New Roman" w:hAnsi="Times New Roman"/>
          <w:sz w:val="24"/>
          <w:szCs w:val="24"/>
        </w:rPr>
        <w:t xml:space="preserve"> associandosi al finanziere Cragnotti, che già aveva acquisito dalla Sme </w:t>
      </w:r>
      <w:proofErr w:type="gramStart"/>
      <w:r>
        <w:rPr>
          <w:rFonts w:ascii="Times New Roman" w:hAnsi="Times New Roman"/>
          <w:sz w:val="24"/>
          <w:szCs w:val="24"/>
        </w:rPr>
        <w:t xml:space="preserve">la </w:t>
      </w:r>
      <w:proofErr w:type="gramEnd"/>
      <w:r>
        <w:rPr>
          <w:rFonts w:ascii="Times New Roman" w:hAnsi="Times New Roman"/>
          <w:sz w:val="24"/>
          <w:szCs w:val="24"/>
        </w:rPr>
        <w:t xml:space="preserve">Ala e dalla Federconsorzi la </w:t>
      </w:r>
      <w:proofErr w:type="spellStart"/>
      <w:r>
        <w:rPr>
          <w:rFonts w:ascii="Times New Roman" w:hAnsi="Times New Roman"/>
          <w:sz w:val="24"/>
          <w:szCs w:val="24"/>
        </w:rPr>
        <w:t>Polenghi</w:t>
      </w:r>
      <w:proofErr w:type="spellEnd"/>
      <w:r>
        <w:rPr>
          <w:rFonts w:ascii="Times New Roman" w:hAnsi="Times New Roman"/>
          <w:sz w:val="24"/>
          <w:szCs w:val="24"/>
        </w:rPr>
        <w:t>.</w:t>
      </w:r>
    </w:p>
    <w:p w:rsidR="000B2C48" w:rsidRPr="00E81B63" w:rsidRDefault="000B2C48" w:rsidP="000B2C48">
      <w:pPr>
        <w:spacing w:after="0" w:line="240" w:lineRule="auto"/>
        <w:jc w:val="both"/>
        <w:rPr>
          <w:rFonts w:ascii="Times New Roman" w:hAnsi="Times New Roman"/>
          <w:sz w:val="24"/>
          <w:szCs w:val="24"/>
        </w:rPr>
      </w:pPr>
      <w:r>
        <w:rPr>
          <w:rFonts w:ascii="Times New Roman" w:hAnsi="Times New Roman"/>
          <w:sz w:val="24"/>
          <w:szCs w:val="24"/>
        </w:rPr>
        <w:t>Nella lunga lotta</w:t>
      </w:r>
      <w:proofErr w:type="gramStart"/>
      <w:r>
        <w:rPr>
          <w:rFonts w:ascii="Times New Roman" w:hAnsi="Times New Roman"/>
          <w:sz w:val="24"/>
          <w:szCs w:val="24"/>
        </w:rPr>
        <w:t xml:space="preserve">  </w:t>
      </w:r>
      <w:proofErr w:type="gramEnd"/>
      <w:r>
        <w:rPr>
          <w:rFonts w:ascii="Times New Roman" w:hAnsi="Times New Roman"/>
          <w:sz w:val="24"/>
          <w:szCs w:val="24"/>
        </w:rPr>
        <w:t>apertasi, tra la fine degli anni settanta e gli inizi degli anni ottanta, per la ristrutturazione del settore alimentare, sono in ultima analisi le multinazionali straniere a fare la parte del leone: l’ipotesi di un grande gruppo alimentare italiano – sia nella forma dell’integrazione tra pubblico e privato, sia in quella di acquisizione da parte di un singolo soggetto imprenditoriale e finanziario privato di imprese e gruppi operanti nel settore – alla luce dei fatti era destinata a rimanere soltanto un’ipotesi.</w:t>
      </w:r>
      <w:r>
        <w:rPr>
          <w:rStyle w:val="Rimandonotaapidipagina"/>
          <w:rFonts w:ascii="Times New Roman" w:hAnsi="Times New Roman"/>
          <w:sz w:val="24"/>
          <w:szCs w:val="24"/>
        </w:rPr>
        <w:footnoteReference w:id="14"/>
      </w:r>
    </w:p>
    <w:p w:rsidR="000B2C48" w:rsidRDefault="000B2C48" w:rsidP="000B2C48">
      <w:pPr>
        <w:spacing w:after="0" w:line="360" w:lineRule="auto"/>
        <w:jc w:val="both"/>
        <w:rPr>
          <w:rFonts w:ascii="Times New Roman" w:hAnsi="Times New Roman"/>
          <w:i/>
          <w:sz w:val="28"/>
          <w:szCs w:val="28"/>
        </w:rPr>
      </w:pPr>
    </w:p>
    <w:p w:rsidR="000B2C48" w:rsidRDefault="000B2C48" w:rsidP="000B2C48">
      <w:pPr>
        <w:spacing w:after="0" w:line="360" w:lineRule="auto"/>
        <w:jc w:val="both"/>
        <w:rPr>
          <w:rFonts w:ascii="Times New Roman" w:hAnsi="Times New Roman"/>
          <w:i/>
          <w:sz w:val="28"/>
          <w:szCs w:val="28"/>
        </w:rPr>
      </w:pPr>
    </w:p>
    <w:p w:rsidR="000B2C48" w:rsidRDefault="000B2C48" w:rsidP="000B2C48">
      <w:pPr>
        <w:spacing w:after="0" w:line="360" w:lineRule="auto"/>
        <w:jc w:val="both"/>
        <w:rPr>
          <w:rFonts w:ascii="Times New Roman" w:hAnsi="Times New Roman"/>
          <w:i/>
          <w:sz w:val="28"/>
          <w:szCs w:val="28"/>
        </w:rPr>
      </w:pPr>
    </w:p>
    <w:p w:rsidR="000B2C48" w:rsidRDefault="000B2C48" w:rsidP="000B2C48">
      <w:pPr>
        <w:spacing w:after="0" w:line="240" w:lineRule="auto"/>
        <w:jc w:val="both"/>
        <w:rPr>
          <w:rFonts w:ascii="Times New Roman" w:hAnsi="Times New Roman"/>
          <w:sz w:val="24"/>
          <w:szCs w:val="24"/>
        </w:rPr>
      </w:pPr>
      <w:r w:rsidRPr="00980081">
        <w:rPr>
          <w:rFonts w:ascii="Times New Roman" w:hAnsi="Times New Roman"/>
          <w:sz w:val="24"/>
          <w:szCs w:val="24"/>
        </w:rPr>
        <w:t>LA GESTIONE INTERNA DELLA SME, IL CASO MOTTA-ALEMAGNA</w:t>
      </w:r>
    </w:p>
    <w:p w:rsidR="000B2C48" w:rsidRPr="00980081" w:rsidRDefault="000B2C48" w:rsidP="000B2C48">
      <w:pPr>
        <w:spacing w:after="0" w:line="240" w:lineRule="auto"/>
        <w:jc w:val="both"/>
        <w:rPr>
          <w:rFonts w:ascii="Times New Roman" w:hAnsi="Times New Roman"/>
          <w:sz w:val="24"/>
          <w:szCs w:val="24"/>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La storia della Motta e dell’Alemagna subì un </w:t>
      </w:r>
      <w:proofErr w:type="gramStart"/>
      <w:r>
        <w:rPr>
          <w:rFonts w:ascii="Times New Roman" w:hAnsi="Times New Roman"/>
          <w:sz w:val="28"/>
          <w:szCs w:val="28"/>
        </w:rPr>
        <w:t>drastico</w:t>
      </w:r>
      <w:proofErr w:type="gramEnd"/>
      <w:r>
        <w:rPr>
          <w:rFonts w:ascii="Times New Roman" w:hAnsi="Times New Roman"/>
          <w:sz w:val="28"/>
          <w:szCs w:val="28"/>
        </w:rPr>
        <w:t xml:space="preserve"> cambiamento sul finire degli anni Sessanta, quando la SME, come si è detto in precedenza, acquistò il 35 per cento del capitale della Motta (1968) e il 50 per cento di quello dell’Alemagna (1970).</w:t>
      </w:r>
      <w:r>
        <w:rPr>
          <w:rStyle w:val="Rimandonotaapidipagina"/>
          <w:rFonts w:ascii="Times New Roman" w:hAnsi="Times New Roman"/>
          <w:sz w:val="28"/>
          <w:szCs w:val="28"/>
        </w:rPr>
        <w:footnoteReference w:id="15"/>
      </w:r>
      <w:r>
        <w:rPr>
          <w:rFonts w:ascii="Times New Roman" w:hAnsi="Times New Roman"/>
          <w:sz w:val="28"/>
          <w:szCs w:val="28"/>
        </w:rPr>
        <w:t xml:space="preserve"> Seppur non rientrasse nei piani di acquisizione della SME, l’Alemagna </w:t>
      </w:r>
      <w:proofErr w:type="gramStart"/>
      <w:r>
        <w:rPr>
          <w:rFonts w:ascii="Times New Roman" w:hAnsi="Times New Roman"/>
          <w:sz w:val="28"/>
          <w:szCs w:val="28"/>
        </w:rPr>
        <w:t>venne</w:t>
      </w:r>
      <w:proofErr w:type="gramEnd"/>
      <w:r>
        <w:rPr>
          <w:rFonts w:ascii="Times New Roman" w:hAnsi="Times New Roman"/>
          <w:sz w:val="28"/>
          <w:szCs w:val="28"/>
        </w:rPr>
        <w:t xml:space="preserve"> incorporata su pressione del management Motta, che vedeva con interesse positivo la confluenza nello stesso gruppo del suo principale concorrente. In un primo momento, però, l’unione dei due gruppi non </w:t>
      </w:r>
      <w:proofErr w:type="gramStart"/>
      <w:r>
        <w:rPr>
          <w:rFonts w:ascii="Times New Roman" w:hAnsi="Times New Roman"/>
          <w:sz w:val="28"/>
          <w:szCs w:val="28"/>
        </w:rPr>
        <w:t>venne</w:t>
      </w:r>
      <w:proofErr w:type="gramEnd"/>
      <w:r>
        <w:rPr>
          <w:rFonts w:ascii="Times New Roman" w:hAnsi="Times New Roman"/>
          <w:sz w:val="28"/>
          <w:szCs w:val="28"/>
        </w:rPr>
        <w:t xml:space="preserve"> programmata, perché il socio Alemagna non voleva vendere la propria quota dell’azienda; si prospettò così la gestione separata dei due gruppi, che risultò essere un grande problema per la SME, che doveva gestire due attività in diretta concorrenza tra di loro.</w:t>
      </w:r>
      <w:r>
        <w:rPr>
          <w:rStyle w:val="Rimandonotaapidipagina"/>
          <w:rFonts w:ascii="Times New Roman" w:hAnsi="Times New Roman"/>
          <w:sz w:val="28"/>
          <w:szCs w:val="28"/>
        </w:rPr>
        <w:footnoteReference w:id="16"/>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Nel 1975, si assistette a crisi vertiginose dei due gruppi, accomunate entrambe da alcuni fattori. </w:t>
      </w:r>
      <w:proofErr w:type="spellStart"/>
      <w:r>
        <w:rPr>
          <w:rFonts w:ascii="Times New Roman" w:hAnsi="Times New Roman"/>
          <w:sz w:val="28"/>
          <w:szCs w:val="28"/>
        </w:rPr>
        <w:t>Sicca</w:t>
      </w:r>
      <w:proofErr w:type="spellEnd"/>
      <w:r>
        <w:rPr>
          <w:rFonts w:ascii="Times New Roman" w:hAnsi="Times New Roman"/>
          <w:sz w:val="28"/>
          <w:szCs w:val="28"/>
        </w:rPr>
        <w:t xml:space="preserve"> ne indica cinque come principali;</w:t>
      </w:r>
    </w:p>
    <w:p w:rsidR="000B2C48" w:rsidRDefault="000B2C48" w:rsidP="000B2C48">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Una caduta dei volumi prodotti e venduti, </w:t>
      </w:r>
      <w:proofErr w:type="gramStart"/>
      <w:r>
        <w:rPr>
          <w:rFonts w:ascii="Times New Roman" w:hAnsi="Times New Roman"/>
          <w:sz w:val="24"/>
          <w:szCs w:val="24"/>
        </w:rPr>
        <w:t>ed</w:t>
      </w:r>
      <w:proofErr w:type="gramEnd"/>
      <w:r>
        <w:rPr>
          <w:rFonts w:ascii="Times New Roman" w:hAnsi="Times New Roman"/>
          <w:sz w:val="24"/>
          <w:szCs w:val="24"/>
        </w:rPr>
        <w:t xml:space="preserve"> un peggioramento del mix, in presenza di un generale aumento dei prezzi;</w:t>
      </w:r>
    </w:p>
    <w:p w:rsidR="000B2C48" w:rsidRDefault="000B2C48" w:rsidP="000B2C48">
      <w:pPr>
        <w:pStyle w:val="Paragrafoelenco"/>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Un generalizzato aumento dei costi, con particolare riguardo a quelli di personale.</w:t>
      </w:r>
      <w:proofErr w:type="gramEnd"/>
    </w:p>
    <w:p w:rsidR="000B2C48" w:rsidRDefault="000B2C48" w:rsidP="000B2C48">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Il costo orario della manodopera industriale era passato da circa L.1.700 a circa L. 4.500.</w:t>
      </w:r>
    </w:p>
    <w:p w:rsidR="000B2C48" w:rsidRDefault="000B2C48" w:rsidP="000B2C48">
      <w:pPr>
        <w:spacing w:after="0" w:line="240" w:lineRule="auto"/>
        <w:ind w:left="360"/>
        <w:jc w:val="both"/>
        <w:rPr>
          <w:rFonts w:ascii="Times New Roman" w:hAnsi="Times New Roman"/>
          <w:sz w:val="24"/>
          <w:szCs w:val="24"/>
        </w:rPr>
      </w:pPr>
      <w:r>
        <w:rPr>
          <w:rFonts w:ascii="Times New Roman" w:hAnsi="Times New Roman"/>
          <w:sz w:val="24"/>
          <w:szCs w:val="24"/>
        </w:rPr>
        <w:tab/>
        <w:t xml:space="preserve">Questi dati esprimevano una situazione non più sopportabile per le due aziende, che vedevano in </w:t>
      </w:r>
      <w:proofErr w:type="gramStart"/>
      <w:r>
        <w:rPr>
          <w:rFonts w:ascii="Times New Roman" w:hAnsi="Times New Roman"/>
          <w:sz w:val="24"/>
          <w:szCs w:val="24"/>
        </w:rPr>
        <w:t>questo</w:t>
      </w:r>
      <w:proofErr w:type="gramEnd"/>
      <w:r>
        <w:rPr>
          <w:rFonts w:ascii="Times New Roman" w:hAnsi="Times New Roman"/>
          <w:sz w:val="24"/>
          <w:szCs w:val="24"/>
        </w:rPr>
        <w:t xml:space="preserve"> aumento eccessivo del costo del lavoro una delle cause principali del loro deficit e della loro diminuita competitività.</w:t>
      </w:r>
    </w:p>
    <w:p w:rsidR="000B2C48" w:rsidRDefault="000B2C48" w:rsidP="000B2C48">
      <w:pPr>
        <w:spacing w:after="0" w:line="240" w:lineRule="auto"/>
        <w:ind w:left="360"/>
        <w:jc w:val="both"/>
        <w:rPr>
          <w:rFonts w:ascii="Times New Roman" w:hAnsi="Times New Roman"/>
          <w:sz w:val="24"/>
          <w:szCs w:val="24"/>
        </w:rPr>
      </w:pPr>
      <w:r>
        <w:rPr>
          <w:rFonts w:ascii="Times New Roman" w:hAnsi="Times New Roman"/>
          <w:sz w:val="24"/>
          <w:szCs w:val="24"/>
        </w:rPr>
        <w:tab/>
        <w:t xml:space="preserve">A determinare questa situazione </w:t>
      </w:r>
      <w:proofErr w:type="gramStart"/>
      <w:r>
        <w:rPr>
          <w:rFonts w:ascii="Times New Roman" w:hAnsi="Times New Roman"/>
          <w:sz w:val="24"/>
          <w:szCs w:val="24"/>
        </w:rPr>
        <w:t>avevano</w:t>
      </w:r>
      <w:proofErr w:type="gramEnd"/>
      <w:r>
        <w:rPr>
          <w:rFonts w:ascii="Times New Roman" w:hAnsi="Times New Roman"/>
          <w:sz w:val="24"/>
          <w:szCs w:val="24"/>
        </w:rPr>
        <w:t xml:space="preserve"> concorso una serie di eventi, sia di carattere economico generale sia riguardanti le singole aziende.</w:t>
      </w:r>
    </w:p>
    <w:p w:rsidR="000B2C48" w:rsidRDefault="000B2C48" w:rsidP="000B2C48">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w:t>
      </w:r>
    </w:p>
    <w:p w:rsidR="000B2C48" w:rsidRDefault="000B2C48" w:rsidP="000B2C48">
      <w:pPr>
        <w:spacing w:after="0" w:line="240" w:lineRule="auto"/>
        <w:ind w:left="360"/>
        <w:jc w:val="both"/>
        <w:rPr>
          <w:rFonts w:ascii="Times New Roman" w:hAnsi="Times New Roman"/>
          <w:sz w:val="24"/>
          <w:szCs w:val="24"/>
        </w:rPr>
      </w:pPr>
      <w:r>
        <w:rPr>
          <w:rFonts w:ascii="Times New Roman" w:hAnsi="Times New Roman"/>
          <w:sz w:val="24"/>
          <w:szCs w:val="24"/>
        </w:rPr>
        <w:tab/>
        <w:t xml:space="preserve">I fattori che, invece, avevano riguardato le singole aziende Motta e Alemagna consistevano </w:t>
      </w:r>
      <w:proofErr w:type="gramStart"/>
      <w:r>
        <w:rPr>
          <w:rFonts w:ascii="Times New Roman" w:hAnsi="Times New Roman"/>
          <w:sz w:val="24"/>
          <w:szCs w:val="24"/>
        </w:rPr>
        <w:t>ne</w:t>
      </w:r>
      <w:proofErr w:type="gramEnd"/>
      <w:r>
        <w:rPr>
          <w:rFonts w:ascii="Times New Roman" w:hAnsi="Times New Roman"/>
          <w:sz w:val="24"/>
          <w:szCs w:val="24"/>
        </w:rPr>
        <w:t xml:space="preserve"> forte assorbimento in organico fisso di forza lavoro fino ad allora stagionale. Infatti, […], nel 1974, in seguito a decisioni della magistratura che dichiarava illecito il lavoro stagionale e che obbligava quindi le aziende all’inquadramento di tutto il personale di questa categoria, gli organici delle due aziende avevano subìto forti incrementi.</w:t>
      </w:r>
    </w:p>
    <w:p w:rsidR="000B2C48" w:rsidRDefault="000B2C48" w:rsidP="000B2C48">
      <w:pPr>
        <w:spacing w:after="0" w:line="240" w:lineRule="auto"/>
        <w:ind w:left="360"/>
        <w:jc w:val="both"/>
        <w:rPr>
          <w:rFonts w:ascii="Times New Roman" w:hAnsi="Times New Roman"/>
          <w:sz w:val="24"/>
          <w:szCs w:val="24"/>
        </w:rPr>
      </w:pPr>
      <w:r>
        <w:rPr>
          <w:rFonts w:ascii="Times New Roman" w:hAnsi="Times New Roman"/>
          <w:sz w:val="24"/>
          <w:szCs w:val="24"/>
        </w:rPr>
        <w:tab/>
        <w:t xml:space="preserve">Le due aziende scontavano, inoltre, le conseguenze degli investimenti nei nuovi impianti di </w:t>
      </w:r>
      <w:proofErr w:type="spellStart"/>
      <w:r>
        <w:rPr>
          <w:rFonts w:ascii="Times New Roman" w:hAnsi="Times New Roman"/>
          <w:sz w:val="24"/>
          <w:szCs w:val="24"/>
        </w:rPr>
        <w:t>Cornaredo</w:t>
      </w:r>
      <w:proofErr w:type="spellEnd"/>
      <w:r>
        <w:rPr>
          <w:rFonts w:ascii="Times New Roman" w:hAnsi="Times New Roman"/>
          <w:sz w:val="24"/>
          <w:szCs w:val="24"/>
        </w:rPr>
        <w:t xml:space="preserve"> (Alemagna) e di Ferentino (Motta). Infatti, all’avvio dell’attività di questi nuovi stabilimenti, un irrigidimento dei sindacati aveva impedito che il trasferimento delle produzioni nei nuovi impianti si accompagnasse </w:t>
      </w:r>
      <w:proofErr w:type="gramStart"/>
      <w:r>
        <w:rPr>
          <w:rFonts w:ascii="Times New Roman" w:hAnsi="Times New Roman"/>
          <w:sz w:val="24"/>
          <w:szCs w:val="24"/>
        </w:rPr>
        <w:t>ad</w:t>
      </w:r>
      <w:proofErr w:type="gramEnd"/>
      <w:r>
        <w:rPr>
          <w:rFonts w:ascii="Times New Roman" w:hAnsi="Times New Roman"/>
          <w:sz w:val="24"/>
          <w:szCs w:val="24"/>
        </w:rPr>
        <w:t xml:space="preserve"> effettivi alleggerimenti della manodopera occupata nei vecchi stabilimenti, nei quali peraltro veniva meno la possibilità di un equilibrio tra le stagionalità delle produzioni, fattore alla base della logica di diversificazione produttiva delle due aziende.</w:t>
      </w:r>
    </w:p>
    <w:p w:rsidR="000B2C48" w:rsidRDefault="000B2C48" w:rsidP="000B2C48">
      <w:pPr>
        <w:spacing w:after="0" w:line="240" w:lineRule="auto"/>
        <w:ind w:left="360"/>
        <w:jc w:val="both"/>
        <w:rPr>
          <w:rFonts w:ascii="Times New Roman" w:hAnsi="Times New Roman"/>
          <w:sz w:val="24"/>
          <w:szCs w:val="24"/>
        </w:rPr>
      </w:pPr>
      <w:r>
        <w:rPr>
          <w:rFonts w:ascii="Times New Roman" w:hAnsi="Times New Roman"/>
          <w:sz w:val="24"/>
          <w:szCs w:val="24"/>
        </w:rPr>
        <w:tab/>
        <w:t xml:space="preserve">Un </w:t>
      </w:r>
      <w:proofErr w:type="gramStart"/>
      <w:r>
        <w:rPr>
          <w:rFonts w:ascii="Times New Roman" w:hAnsi="Times New Roman"/>
          <w:sz w:val="24"/>
          <w:szCs w:val="24"/>
        </w:rPr>
        <w:t>ulteriore</w:t>
      </w:r>
      <w:proofErr w:type="gramEnd"/>
      <w:r>
        <w:rPr>
          <w:rFonts w:ascii="Times New Roman" w:hAnsi="Times New Roman"/>
          <w:sz w:val="24"/>
          <w:szCs w:val="24"/>
        </w:rPr>
        <w:t xml:space="preserve"> fattore che incideva sui costi di mano d’opera era costituito dal fatto che, nelle due strutture aziendali, erano presenti alcune produzioni che venivano effettuate ancora con processi semi-artigianali, comportando di conseguenza livelli di produttività molto bassi;</w:t>
      </w:r>
    </w:p>
    <w:p w:rsidR="000B2C48" w:rsidRDefault="000B2C48" w:rsidP="000B2C48">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Un aumento dell’assenteismo;</w:t>
      </w:r>
    </w:p>
    <w:p w:rsidR="000B2C48" w:rsidRDefault="000B2C48" w:rsidP="000B2C48">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aumento delle spese generali e dei costi di struttura. </w:t>
      </w:r>
      <w:proofErr w:type="gramStart"/>
      <w:r>
        <w:rPr>
          <w:rFonts w:ascii="Times New Roman" w:hAnsi="Times New Roman"/>
          <w:sz w:val="24"/>
          <w:szCs w:val="24"/>
        </w:rPr>
        <w:t>[…</w:t>
      </w:r>
      <w:proofErr w:type="gramEnd"/>
      <w:r>
        <w:rPr>
          <w:rFonts w:ascii="Times New Roman" w:hAnsi="Times New Roman"/>
          <w:sz w:val="24"/>
          <w:szCs w:val="24"/>
        </w:rPr>
        <w:t>]</w:t>
      </w:r>
    </w:p>
    <w:p w:rsidR="000B2C48" w:rsidRDefault="000B2C48" w:rsidP="000B2C48">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Un aumento dell’incidenza sul fatturato degli oneri finanziari, […].</w:t>
      </w:r>
    </w:p>
    <w:p w:rsidR="000B2C48" w:rsidRDefault="000B2C48" w:rsidP="000B2C48">
      <w:pPr>
        <w:spacing w:after="0" w:line="240" w:lineRule="auto"/>
        <w:ind w:left="720"/>
        <w:jc w:val="both"/>
        <w:rPr>
          <w:rFonts w:ascii="Times New Roman" w:hAnsi="Times New Roman"/>
          <w:sz w:val="24"/>
          <w:szCs w:val="24"/>
        </w:rPr>
      </w:pPr>
      <w:proofErr w:type="gramStart"/>
      <w:r>
        <w:rPr>
          <w:rFonts w:ascii="Times New Roman" w:hAnsi="Times New Roman"/>
          <w:sz w:val="24"/>
          <w:szCs w:val="24"/>
        </w:rPr>
        <w:t xml:space="preserve">Gli </w:t>
      </w:r>
      <w:proofErr w:type="gramEnd"/>
      <w:r>
        <w:rPr>
          <w:rFonts w:ascii="Times New Roman" w:hAnsi="Times New Roman"/>
          <w:sz w:val="24"/>
          <w:szCs w:val="24"/>
        </w:rPr>
        <w:t xml:space="preserve">investimento per i nuovi impianti […] si presentavano altamente </w:t>
      </w:r>
      <w:proofErr w:type="spellStart"/>
      <w:r>
        <w:rPr>
          <w:rFonts w:ascii="Times New Roman" w:hAnsi="Times New Roman"/>
          <w:sz w:val="24"/>
          <w:szCs w:val="24"/>
        </w:rPr>
        <w:t>deficitari</w:t>
      </w:r>
      <w:proofErr w:type="spellEnd"/>
      <w:r>
        <w:rPr>
          <w:rFonts w:ascii="Times New Roman" w:hAnsi="Times New Roman"/>
          <w:sz w:val="24"/>
          <w:szCs w:val="24"/>
        </w:rPr>
        <w:t xml:space="preserve"> principalmente a causa del fatto che l’avvio delle produzioni era coinciso con una fase recessiva della domanda.</w:t>
      </w:r>
      <w:r>
        <w:rPr>
          <w:rStyle w:val="Rimandonotaapidipagina"/>
          <w:rFonts w:ascii="Times New Roman" w:hAnsi="Times New Roman"/>
          <w:sz w:val="24"/>
          <w:szCs w:val="24"/>
        </w:rPr>
        <w:footnoteReference w:id="17"/>
      </w:r>
    </w:p>
    <w:p w:rsidR="000B2C48" w:rsidRDefault="000B2C48" w:rsidP="000B2C48">
      <w:pPr>
        <w:spacing w:after="0" w:line="240" w:lineRule="auto"/>
        <w:jc w:val="both"/>
        <w:rPr>
          <w:rFonts w:ascii="Times New Roman" w:hAnsi="Times New Roman"/>
          <w:sz w:val="24"/>
          <w:szCs w:val="24"/>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Data una situazione tale di crisi per la SME e le due attività si aprirono due strade e cioè il mantenimento delle due società separate oppure la fusione delle due aziende.</w:t>
      </w:r>
      <w:r>
        <w:rPr>
          <w:rStyle w:val="Rimandonotaapidipagina"/>
          <w:rFonts w:ascii="Times New Roman" w:hAnsi="Times New Roman"/>
          <w:sz w:val="28"/>
          <w:szCs w:val="28"/>
        </w:rPr>
        <w:footnoteReference w:id="18"/>
      </w:r>
      <w:r>
        <w:rPr>
          <w:rFonts w:ascii="Times New Roman" w:hAnsi="Times New Roman"/>
          <w:sz w:val="28"/>
          <w:szCs w:val="28"/>
        </w:rPr>
        <w:t xml:space="preserve"> Analizzati costi e benefici delle due </w:t>
      </w:r>
      <w:proofErr w:type="gramStart"/>
      <w:r>
        <w:rPr>
          <w:rFonts w:ascii="Times New Roman" w:hAnsi="Times New Roman"/>
          <w:sz w:val="28"/>
          <w:szCs w:val="28"/>
        </w:rPr>
        <w:t>opzioni</w:t>
      </w:r>
      <w:proofErr w:type="gramEnd"/>
      <w:r>
        <w:rPr>
          <w:rFonts w:ascii="Times New Roman" w:hAnsi="Times New Roman"/>
          <w:sz w:val="28"/>
          <w:szCs w:val="28"/>
        </w:rPr>
        <w:t>, si arrivò alla conclusione che la concentrazione delle due aziende era la via più efficace per operare una vera ristrutturazione. Le due aziende, quindi, come detto, si fusero nell’</w:t>
      </w:r>
      <w:proofErr w:type="spellStart"/>
      <w:r>
        <w:rPr>
          <w:rFonts w:ascii="Times New Roman" w:hAnsi="Times New Roman"/>
          <w:sz w:val="28"/>
          <w:szCs w:val="28"/>
        </w:rPr>
        <w:t>Unidal</w:t>
      </w:r>
      <w:proofErr w:type="spellEnd"/>
      <w:r>
        <w:rPr>
          <w:rFonts w:ascii="Times New Roman" w:hAnsi="Times New Roman"/>
          <w:sz w:val="28"/>
          <w:szCs w:val="28"/>
        </w:rPr>
        <w:t xml:space="preserve">, il cui piano esecutivo, redatto nel 1975, </w:t>
      </w:r>
      <w:proofErr w:type="gramStart"/>
      <w:r>
        <w:rPr>
          <w:rFonts w:ascii="Times New Roman" w:hAnsi="Times New Roman"/>
          <w:sz w:val="28"/>
          <w:szCs w:val="28"/>
        </w:rPr>
        <w:t>prevedeva</w:t>
      </w:r>
      <w:proofErr w:type="gramEnd"/>
      <w:r>
        <w:rPr>
          <w:rFonts w:ascii="Times New Roman" w:hAnsi="Times New Roman"/>
          <w:sz w:val="28"/>
          <w:szCs w:val="28"/>
        </w:rPr>
        <w:t xml:space="preserve"> la ristrutturazione della attività produttive e commerciali su tutte le aree aziendali. Questa ristrutturazione avrebbe portato a un cambiamento riassunto nella tabella.</w:t>
      </w:r>
    </w:p>
    <w:p w:rsidR="000B2C48" w:rsidRDefault="000B2C48" w:rsidP="000B2C48">
      <w:pPr>
        <w:spacing w:after="0" w:line="360" w:lineRule="auto"/>
        <w:jc w:val="both"/>
        <w:rPr>
          <w:rFonts w:ascii="Times New Roman" w:hAnsi="Times New Roman"/>
          <w:sz w:val="28"/>
          <w:szCs w:val="28"/>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lastRenderedPageBreak/>
        <w:t>Il piano di ristrutturazione dell’</w:t>
      </w:r>
      <w:proofErr w:type="spellStart"/>
      <w:r>
        <w:rPr>
          <w:rFonts w:ascii="Times New Roman" w:hAnsi="Times New Roman"/>
          <w:sz w:val="28"/>
          <w:szCs w:val="28"/>
        </w:rPr>
        <w:t>Unidal</w:t>
      </w:r>
      <w:proofErr w:type="spellEnd"/>
      <w:r>
        <w:rPr>
          <w:rFonts w:ascii="Times New Roman" w:hAnsi="Times New Roman"/>
          <w:sz w:val="28"/>
          <w:szCs w:val="28"/>
        </w:rPr>
        <w:t>.</w:t>
      </w:r>
      <w:r>
        <w:rPr>
          <w:rStyle w:val="Rimandonotaapidipagina"/>
          <w:rFonts w:ascii="Times New Roman" w:hAnsi="Times New Roman"/>
          <w:sz w:val="28"/>
          <w:szCs w:val="28"/>
        </w:rPr>
        <w:footnoteReference w:id="19"/>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3953"/>
        <w:gridCol w:w="3844"/>
      </w:tblGrid>
      <w:tr w:rsidR="000B2C48" w:rsidRPr="002B47B3" w:rsidTr="00C65431">
        <w:tc>
          <w:tcPr>
            <w:tcW w:w="1809" w:type="dxa"/>
          </w:tcPr>
          <w:p w:rsidR="000B2C48" w:rsidRPr="002B47B3" w:rsidRDefault="000B2C48" w:rsidP="00C65431">
            <w:pPr>
              <w:spacing w:before="240" w:after="0" w:line="360" w:lineRule="auto"/>
              <w:jc w:val="center"/>
              <w:rPr>
                <w:rFonts w:ascii="Times New Roman" w:hAnsi="Times New Roman"/>
                <w:sz w:val="20"/>
                <w:szCs w:val="20"/>
              </w:rPr>
            </w:pPr>
            <w:r w:rsidRPr="002B47B3">
              <w:rPr>
                <w:rFonts w:ascii="Times New Roman" w:hAnsi="Times New Roman"/>
                <w:sz w:val="20"/>
                <w:szCs w:val="20"/>
              </w:rPr>
              <w:t>Stabilimenti</w:t>
            </w:r>
          </w:p>
        </w:tc>
        <w:tc>
          <w:tcPr>
            <w:tcW w:w="7797" w:type="dxa"/>
            <w:gridSpan w:val="2"/>
          </w:tcPr>
          <w:p w:rsidR="000B2C48" w:rsidRPr="002B47B3" w:rsidRDefault="000B2C48" w:rsidP="00C65431">
            <w:pPr>
              <w:spacing w:before="240" w:after="0" w:line="360" w:lineRule="auto"/>
              <w:jc w:val="center"/>
              <w:rPr>
                <w:rFonts w:ascii="Times New Roman" w:hAnsi="Times New Roman"/>
                <w:sz w:val="20"/>
                <w:szCs w:val="20"/>
              </w:rPr>
            </w:pPr>
            <w:r w:rsidRPr="002B47B3">
              <w:rPr>
                <w:rFonts w:ascii="Times New Roman" w:hAnsi="Times New Roman"/>
                <w:sz w:val="20"/>
                <w:szCs w:val="20"/>
              </w:rPr>
              <w:t>Produzioni</w:t>
            </w:r>
          </w:p>
        </w:tc>
      </w:tr>
      <w:tr w:rsidR="000B2C48" w:rsidRPr="002B47B3" w:rsidTr="00C65431">
        <w:tc>
          <w:tcPr>
            <w:tcW w:w="1809" w:type="dxa"/>
          </w:tcPr>
          <w:p w:rsidR="000B2C48" w:rsidRPr="002B47B3" w:rsidRDefault="000B2C48" w:rsidP="00C65431">
            <w:pPr>
              <w:spacing w:before="240" w:after="0" w:line="360" w:lineRule="auto"/>
              <w:jc w:val="center"/>
              <w:rPr>
                <w:rFonts w:ascii="Times New Roman" w:hAnsi="Times New Roman"/>
                <w:sz w:val="20"/>
                <w:szCs w:val="20"/>
              </w:rPr>
            </w:pPr>
          </w:p>
        </w:tc>
        <w:tc>
          <w:tcPr>
            <w:tcW w:w="3953" w:type="dxa"/>
          </w:tcPr>
          <w:p w:rsidR="000B2C48" w:rsidRPr="002B47B3" w:rsidRDefault="000B2C48" w:rsidP="00C65431">
            <w:pPr>
              <w:spacing w:before="240" w:after="0" w:line="360" w:lineRule="auto"/>
              <w:jc w:val="center"/>
              <w:rPr>
                <w:rFonts w:ascii="Times New Roman" w:hAnsi="Times New Roman"/>
                <w:sz w:val="20"/>
                <w:szCs w:val="20"/>
              </w:rPr>
            </w:pPr>
            <w:r w:rsidRPr="002B47B3">
              <w:rPr>
                <w:rFonts w:ascii="Times New Roman" w:hAnsi="Times New Roman"/>
                <w:sz w:val="20"/>
                <w:szCs w:val="20"/>
              </w:rPr>
              <w:t>Attuali</w:t>
            </w:r>
          </w:p>
        </w:tc>
        <w:tc>
          <w:tcPr>
            <w:tcW w:w="3844" w:type="dxa"/>
          </w:tcPr>
          <w:p w:rsidR="000B2C48" w:rsidRPr="002B47B3" w:rsidRDefault="000B2C48" w:rsidP="00C65431">
            <w:pPr>
              <w:spacing w:before="240" w:after="0" w:line="360" w:lineRule="auto"/>
              <w:jc w:val="center"/>
              <w:rPr>
                <w:rFonts w:ascii="Times New Roman" w:hAnsi="Times New Roman"/>
                <w:sz w:val="20"/>
                <w:szCs w:val="20"/>
              </w:rPr>
            </w:pPr>
            <w:r w:rsidRPr="002B47B3">
              <w:rPr>
                <w:rFonts w:ascii="Times New Roman" w:hAnsi="Times New Roman"/>
                <w:sz w:val="20"/>
                <w:szCs w:val="20"/>
              </w:rPr>
              <w:t>Previste</w:t>
            </w:r>
          </w:p>
        </w:tc>
      </w:tr>
      <w:tr w:rsidR="000B2C48" w:rsidRPr="002B47B3" w:rsidTr="00C65431">
        <w:tc>
          <w:tcPr>
            <w:tcW w:w="1809"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Viale Corsica</w:t>
            </w:r>
          </w:p>
        </w:tc>
        <w:tc>
          <w:tcPr>
            <w:tcW w:w="3953" w:type="dxa"/>
          </w:tcPr>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Panettone e colomba</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Cioccolato e paste</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 xml:space="preserve">Cioccolato </w:t>
            </w:r>
            <w:proofErr w:type="spellStart"/>
            <w:proofErr w:type="gramStart"/>
            <w:r w:rsidRPr="002B47B3">
              <w:rPr>
                <w:rFonts w:ascii="Times New Roman" w:hAnsi="Times New Roman"/>
                <w:sz w:val="20"/>
                <w:szCs w:val="20"/>
              </w:rPr>
              <w:t>modell</w:t>
            </w:r>
            <w:proofErr w:type="spellEnd"/>
            <w:r w:rsidRPr="002B47B3">
              <w:rPr>
                <w:rFonts w:ascii="Times New Roman" w:hAnsi="Times New Roman"/>
                <w:sz w:val="20"/>
                <w:szCs w:val="20"/>
              </w:rPr>
              <w:t>.</w:t>
            </w:r>
            <w:proofErr w:type="gramEnd"/>
            <w:r w:rsidRPr="002B47B3">
              <w:rPr>
                <w:rFonts w:ascii="Times New Roman" w:hAnsi="Times New Roman"/>
                <w:sz w:val="20"/>
                <w:szCs w:val="20"/>
              </w:rPr>
              <w:t xml:space="preserve"> e </w:t>
            </w:r>
            <w:proofErr w:type="spellStart"/>
            <w:r w:rsidRPr="002B47B3">
              <w:rPr>
                <w:rFonts w:ascii="Times New Roman" w:hAnsi="Times New Roman"/>
                <w:sz w:val="20"/>
                <w:szCs w:val="20"/>
              </w:rPr>
              <w:t>conf</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Caramelle</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Torrone (solo bianco)</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Pacchi natalizi e pasquali</w:t>
            </w:r>
          </w:p>
        </w:tc>
        <w:tc>
          <w:tcPr>
            <w:tcW w:w="3844" w:type="dxa"/>
          </w:tcPr>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Panettone e colomba</w:t>
            </w: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proofErr w:type="spellStart"/>
            <w:proofErr w:type="gramStart"/>
            <w:r w:rsidRPr="002B47B3">
              <w:rPr>
                <w:rFonts w:ascii="Times New Roman" w:hAnsi="Times New Roman"/>
                <w:sz w:val="20"/>
                <w:szCs w:val="20"/>
              </w:rPr>
              <w:t>Ciocc</w:t>
            </w:r>
            <w:proofErr w:type="spellEnd"/>
            <w:r w:rsidRPr="002B47B3">
              <w:rPr>
                <w:rFonts w:ascii="Times New Roman" w:hAnsi="Times New Roman"/>
                <w:sz w:val="20"/>
                <w:szCs w:val="20"/>
              </w:rPr>
              <w:t>.</w:t>
            </w:r>
            <w:proofErr w:type="gramEnd"/>
            <w:r w:rsidRPr="002B47B3">
              <w:rPr>
                <w:rFonts w:ascii="Times New Roman" w:hAnsi="Times New Roman"/>
                <w:sz w:val="20"/>
                <w:szCs w:val="20"/>
              </w:rPr>
              <w:t xml:space="preserve"> e paste</w:t>
            </w:r>
          </w:p>
          <w:p w:rsidR="000B2C48" w:rsidRPr="002B47B3" w:rsidRDefault="000B2C48" w:rsidP="00C65431">
            <w:pPr>
              <w:pStyle w:val="Paragrafoelenco"/>
              <w:spacing w:after="0" w:line="240" w:lineRule="auto"/>
              <w:jc w:val="both"/>
              <w:rPr>
                <w:rFonts w:ascii="Times New Roman" w:hAnsi="Times New Roman"/>
                <w:sz w:val="20"/>
                <w:szCs w:val="20"/>
              </w:rPr>
            </w:pPr>
          </w:p>
          <w:p w:rsidR="000B2C48" w:rsidRPr="002B47B3" w:rsidRDefault="000B2C48" w:rsidP="00C65431">
            <w:pPr>
              <w:pStyle w:val="Paragrafoelenco"/>
              <w:spacing w:after="0" w:line="240" w:lineRule="auto"/>
              <w:jc w:val="both"/>
              <w:rPr>
                <w:rFonts w:ascii="Times New Roman" w:hAnsi="Times New Roman"/>
                <w:sz w:val="20"/>
                <w:szCs w:val="20"/>
              </w:rPr>
            </w:pPr>
          </w:p>
          <w:p w:rsidR="000B2C48" w:rsidRPr="002B47B3" w:rsidRDefault="000B2C48" w:rsidP="00C65431">
            <w:pPr>
              <w:pStyle w:val="Paragrafoelenco"/>
              <w:spacing w:after="0" w:line="240" w:lineRule="auto"/>
              <w:jc w:val="both"/>
              <w:rPr>
                <w:rFonts w:ascii="Times New Roman" w:hAnsi="Times New Roman"/>
                <w:sz w:val="20"/>
                <w:szCs w:val="20"/>
              </w:rPr>
            </w:pPr>
          </w:p>
          <w:p w:rsidR="000B2C48" w:rsidRPr="002B47B3" w:rsidRDefault="000B2C48" w:rsidP="000B2C48">
            <w:pPr>
              <w:pStyle w:val="Paragrafoelenco"/>
              <w:numPr>
                <w:ilvl w:val="0"/>
                <w:numId w:val="3"/>
              </w:numPr>
              <w:spacing w:after="0" w:line="240" w:lineRule="auto"/>
              <w:jc w:val="both"/>
              <w:rPr>
                <w:rFonts w:ascii="Times New Roman" w:hAnsi="Times New Roman"/>
                <w:sz w:val="20"/>
                <w:szCs w:val="20"/>
              </w:rPr>
            </w:pPr>
            <w:r w:rsidRPr="002B47B3">
              <w:rPr>
                <w:rFonts w:ascii="Times New Roman" w:hAnsi="Times New Roman"/>
                <w:sz w:val="20"/>
                <w:szCs w:val="20"/>
              </w:rPr>
              <w:t>Torrone (bianco)</w:t>
            </w:r>
          </w:p>
          <w:p w:rsidR="000B2C48" w:rsidRPr="002B47B3" w:rsidRDefault="000B2C48" w:rsidP="00C65431">
            <w:pPr>
              <w:spacing w:after="0" w:line="240" w:lineRule="auto"/>
              <w:jc w:val="both"/>
              <w:rPr>
                <w:rFonts w:ascii="Times New Roman" w:hAnsi="Times New Roman"/>
                <w:sz w:val="20"/>
                <w:szCs w:val="20"/>
              </w:rPr>
            </w:pPr>
          </w:p>
        </w:tc>
      </w:tr>
      <w:tr w:rsidR="000B2C48" w:rsidRPr="002B47B3" w:rsidTr="00C65431">
        <w:tc>
          <w:tcPr>
            <w:tcW w:w="1809"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Via Silva</w:t>
            </w:r>
          </w:p>
        </w:tc>
        <w:tc>
          <w:tcPr>
            <w:tcW w:w="3953" w:type="dxa"/>
          </w:tcPr>
          <w:p w:rsidR="000B2C48" w:rsidRPr="002B47B3" w:rsidRDefault="000B2C48" w:rsidP="000B2C48">
            <w:pPr>
              <w:pStyle w:val="Paragrafoelenco"/>
              <w:numPr>
                <w:ilvl w:val="0"/>
                <w:numId w:val="4"/>
              </w:numPr>
              <w:spacing w:after="0" w:line="240" w:lineRule="auto"/>
              <w:jc w:val="both"/>
              <w:rPr>
                <w:rFonts w:ascii="Times New Roman" w:hAnsi="Times New Roman"/>
                <w:sz w:val="20"/>
                <w:szCs w:val="20"/>
              </w:rPr>
            </w:pPr>
            <w:r w:rsidRPr="002B47B3">
              <w:rPr>
                <w:rFonts w:ascii="Times New Roman" w:hAnsi="Times New Roman"/>
                <w:sz w:val="20"/>
                <w:szCs w:val="20"/>
              </w:rPr>
              <w:t>Panettone e colomba</w:t>
            </w:r>
          </w:p>
          <w:p w:rsidR="000B2C48" w:rsidRPr="002B47B3" w:rsidRDefault="000B2C48" w:rsidP="000B2C48">
            <w:pPr>
              <w:pStyle w:val="Paragrafoelenco"/>
              <w:numPr>
                <w:ilvl w:val="0"/>
                <w:numId w:val="4"/>
              </w:numPr>
              <w:spacing w:after="0" w:line="240" w:lineRule="auto"/>
              <w:jc w:val="both"/>
              <w:rPr>
                <w:rFonts w:ascii="Times New Roman" w:hAnsi="Times New Roman"/>
                <w:sz w:val="20"/>
                <w:szCs w:val="20"/>
              </w:rPr>
            </w:pPr>
            <w:r w:rsidRPr="002B47B3">
              <w:rPr>
                <w:rFonts w:ascii="Times New Roman" w:hAnsi="Times New Roman"/>
                <w:sz w:val="20"/>
                <w:szCs w:val="20"/>
              </w:rPr>
              <w:t>Pandoro</w:t>
            </w:r>
          </w:p>
          <w:p w:rsidR="000B2C48" w:rsidRPr="002B47B3" w:rsidRDefault="000B2C48" w:rsidP="000B2C48">
            <w:pPr>
              <w:pStyle w:val="Paragrafoelenco"/>
              <w:numPr>
                <w:ilvl w:val="0"/>
                <w:numId w:val="4"/>
              </w:numPr>
              <w:spacing w:after="0" w:line="240" w:lineRule="auto"/>
              <w:jc w:val="both"/>
              <w:rPr>
                <w:rFonts w:ascii="Times New Roman" w:hAnsi="Times New Roman"/>
                <w:sz w:val="20"/>
                <w:szCs w:val="20"/>
              </w:rPr>
            </w:pPr>
            <w:proofErr w:type="spellStart"/>
            <w:r w:rsidRPr="002B47B3">
              <w:rPr>
                <w:rFonts w:ascii="Times New Roman" w:hAnsi="Times New Roman"/>
                <w:sz w:val="20"/>
                <w:szCs w:val="20"/>
              </w:rPr>
              <w:t>Sticks</w:t>
            </w:r>
            <w:proofErr w:type="spellEnd"/>
            <w:r w:rsidRPr="002B47B3">
              <w:rPr>
                <w:rFonts w:ascii="Times New Roman" w:hAnsi="Times New Roman"/>
                <w:sz w:val="20"/>
                <w:szCs w:val="20"/>
              </w:rPr>
              <w:t xml:space="preserve"> e </w:t>
            </w:r>
            <w:proofErr w:type="spellStart"/>
            <w:r w:rsidRPr="002B47B3">
              <w:rPr>
                <w:rFonts w:ascii="Times New Roman" w:hAnsi="Times New Roman"/>
                <w:sz w:val="20"/>
                <w:szCs w:val="20"/>
              </w:rPr>
              <w:t>minicharms</w:t>
            </w:r>
            <w:proofErr w:type="spellEnd"/>
          </w:p>
          <w:p w:rsidR="000B2C48" w:rsidRPr="002B47B3" w:rsidRDefault="000B2C48" w:rsidP="000B2C48">
            <w:pPr>
              <w:pStyle w:val="Paragrafoelenco"/>
              <w:numPr>
                <w:ilvl w:val="0"/>
                <w:numId w:val="4"/>
              </w:numPr>
              <w:spacing w:after="0" w:line="240" w:lineRule="auto"/>
              <w:jc w:val="both"/>
              <w:rPr>
                <w:rFonts w:ascii="Times New Roman" w:hAnsi="Times New Roman"/>
                <w:sz w:val="20"/>
                <w:szCs w:val="20"/>
              </w:rPr>
            </w:pPr>
            <w:r w:rsidRPr="002B47B3">
              <w:rPr>
                <w:rFonts w:ascii="Times New Roman" w:hAnsi="Times New Roman"/>
                <w:sz w:val="20"/>
                <w:szCs w:val="20"/>
              </w:rPr>
              <w:t>Caramelle</w:t>
            </w:r>
          </w:p>
          <w:p w:rsidR="000B2C48" w:rsidRPr="002B47B3" w:rsidRDefault="000B2C48" w:rsidP="000B2C48">
            <w:pPr>
              <w:pStyle w:val="Paragrafoelenco"/>
              <w:numPr>
                <w:ilvl w:val="0"/>
                <w:numId w:val="4"/>
              </w:numPr>
              <w:spacing w:after="0" w:line="240" w:lineRule="auto"/>
              <w:jc w:val="both"/>
              <w:rPr>
                <w:rFonts w:ascii="Times New Roman" w:hAnsi="Times New Roman"/>
                <w:sz w:val="20"/>
                <w:szCs w:val="20"/>
              </w:rPr>
            </w:pPr>
            <w:r w:rsidRPr="002B47B3">
              <w:rPr>
                <w:rFonts w:ascii="Times New Roman" w:hAnsi="Times New Roman"/>
                <w:sz w:val="20"/>
                <w:szCs w:val="20"/>
              </w:rPr>
              <w:t>Torrone (solo bianco)</w:t>
            </w:r>
          </w:p>
        </w:tc>
        <w:tc>
          <w:tcPr>
            <w:tcW w:w="3844" w:type="dxa"/>
          </w:tcPr>
          <w:p w:rsidR="000B2C48" w:rsidRPr="002B47B3" w:rsidRDefault="000B2C48" w:rsidP="00C65431">
            <w:pPr>
              <w:spacing w:before="240" w:after="0" w:line="240" w:lineRule="auto"/>
              <w:jc w:val="both"/>
              <w:rPr>
                <w:rFonts w:ascii="Times New Roman" w:hAnsi="Times New Roman"/>
                <w:sz w:val="20"/>
                <w:szCs w:val="20"/>
              </w:rPr>
            </w:pPr>
          </w:p>
        </w:tc>
      </w:tr>
      <w:tr w:rsidR="000B2C48" w:rsidRPr="002B47B3" w:rsidTr="00C65431">
        <w:tc>
          <w:tcPr>
            <w:tcW w:w="1809" w:type="dxa"/>
          </w:tcPr>
          <w:p w:rsidR="000B2C48" w:rsidRPr="002B47B3" w:rsidRDefault="000B2C48" w:rsidP="00C65431">
            <w:pPr>
              <w:spacing w:before="240" w:after="0" w:line="360" w:lineRule="auto"/>
              <w:jc w:val="both"/>
              <w:rPr>
                <w:rFonts w:ascii="Times New Roman" w:hAnsi="Times New Roman"/>
                <w:sz w:val="20"/>
                <w:szCs w:val="20"/>
              </w:rPr>
            </w:pPr>
            <w:proofErr w:type="spellStart"/>
            <w:r w:rsidRPr="002B47B3">
              <w:rPr>
                <w:rFonts w:ascii="Times New Roman" w:hAnsi="Times New Roman"/>
                <w:sz w:val="20"/>
                <w:szCs w:val="20"/>
              </w:rPr>
              <w:t>Cornaredo</w:t>
            </w:r>
            <w:proofErr w:type="spellEnd"/>
          </w:p>
        </w:tc>
        <w:tc>
          <w:tcPr>
            <w:tcW w:w="3953" w:type="dxa"/>
          </w:tcPr>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Monodose non lievitate</w:t>
            </w:r>
          </w:p>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Cioccolato</w:t>
            </w:r>
          </w:p>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Torrone (</w:t>
            </w:r>
            <w:proofErr w:type="spellStart"/>
            <w:r w:rsidRPr="002B47B3">
              <w:rPr>
                <w:rFonts w:ascii="Times New Roman" w:hAnsi="Times New Roman"/>
                <w:sz w:val="20"/>
                <w:szCs w:val="20"/>
              </w:rPr>
              <w:t>cioccol</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Gelati</w:t>
            </w:r>
          </w:p>
          <w:p w:rsidR="000B2C48" w:rsidRPr="002B47B3" w:rsidRDefault="000B2C48" w:rsidP="000B2C48">
            <w:pPr>
              <w:pStyle w:val="Paragrafoelenco"/>
              <w:numPr>
                <w:ilvl w:val="0"/>
                <w:numId w:val="5"/>
              </w:numPr>
              <w:spacing w:after="0" w:line="240" w:lineRule="auto"/>
              <w:jc w:val="both"/>
              <w:rPr>
                <w:rFonts w:ascii="Times New Roman" w:hAnsi="Times New Roman"/>
                <w:sz w:val="20"/>
                <w:szCs w:val="20"/>
              </w:rPr>
            </w:pPr>
            <w:r w:rsidRPr="002B47B3">
              <w:rPr>
                <w:rFonts w:ascii="Times New Roman" w:hAnsi="Times New Roman"/>
                <w:sz w:val="20"/>
                <w:szCs w:val="20"/>
              </w:rPr>
              <w:t>Pacchi natalizi e pasquali</w:t>
            </w:r>
          </w:p>
        </w:tc>
        <w:tc>
          <w:tcPr>
            <w:tcW w:w="3844" w:type="dxa"/>
          </w:tcPr>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 xml:space="preserve">Monodose non </w:t>
            </w:r>
            <w:proofErr w:type="spellStart"/>
            <w:r w:rsidRPr="002B47B3">
              <w:rPr>
                <w:rFonts w:ascii="Times New Roman" w:hAnsi="Times New Roman"/>
                <w:sz w:val="20"/>
                <w:szCs w:val="20"/>
              </w:rPr>
              <w:t>liev</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Cioccolato</w:t>
            </w:r>
          </w:p>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Torrone (</w:t>
            </w:r>
            <w:proofErr w:type="spellStart"/>
            <w:r w:rsidRPr="002B47B3">
              <w:rPr>
                <w:rFonts w:ascii="Times New Roman" w:hAnsi="Times New Roman"/>
                <w:sz w:val="20"/>
                <w:szCs w:val="20"/>
              </w:rPr>
              <w:t>cioccol</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Gelati</w:t>
            </w:r>
          </w:p>
          <w:p w:rsidR="000B2C48" w:rsidRPr="002B47B3" w:rsidRDefault="000B2C48" w:rsidP="000B2C48">
            <w:pPr>
              <w:pStyle w:val="Paragrafoelenco"/>
              <w:numPr>
                <w:ilvl w:val="0"/>
                <w:numId w:val="5"/>
              </w:numPr>
              <w:spacing w:before="240" w:after="0" w:line="240" w:lineRule="auto"/>
              <w:jc w:val="both"/>
              <w:rPr>
                <w:rFonts w:ascii="Times New Roman" w:hAnsi="Times New Roman"/>
                <w:sz w:val="20"/>
                <w:szCs w:val="20"/>
              </w:rPr>
            </w:pPr>
            <w:r w:rsidRPr="002B47B3">
              <w:rPr>
                <w:rFonts w:ascii="Times New Roman" w:hAnsi="Times New Roman"/>
                <w:sz w:val="20"/>
                <w:szCs w:val="20"/>
              </w:rPr>
              <w:t>Pacchi natalizi e pasquali</w:t>
            </w:r>
          </w:p>
        </w:tc>
      </w:tr>
      <w:tr w:rsidR="000B2C48" w:rsidRPr="002B47B3" w:rsidTr="00C65431">
        <w:tc>
          <w:tcPr>
            <w:tcW w:w="1809" w:type="dxa"/>
          </w:tcPr>
          <w:p w:rsidR="000B2C48" w:rsidRPr="002B47B3" w:rsidRDefault="000B2C48" w:rsidP="00C65431">
            <w:pPr>
              <w:spacing w:before="240" w:after="0" w:line="360" w:lineRule="auto"/>
              <w:jc w:val="both"/>
              <w:rPr>
                <w:rFonts w:ascii="Times New Roman" w:hAnsi="Times New Roman"/>
                <w:sz w:val="20"/>
                <w:szCs w:val="20"/>
              </w:rPr>
            </w:pPr>
            <w:r w:rsidRPr="002B47B3">
              <w:rPr>
                <w:rFonts w:ascii="Times New Roman" w:hAnsi="Times New Roman"/>
                <w:sz w:val="20"/>
                <w:szCs w:val="20"/>
              </w:rPr>
              <w:t>Segrate</w:t>
            </w:r>
          </w:p>
        </w:tc>
        <w:tc>
          <w:tcPr>
            <w:tcW w:w="3953" w:type="dxa"/>
          </w:tcPr>
          <w:p w:rsidR="000B2C48" w:rsidRPr="002B47B3" w:rsidRDefault="000B2C48" w:rsidP="000B2C48">
            <w:pPr>
              <w:pStyle w:val="Paragrafoelenco"/>
              <w:numPr>
                <w:ilvl w:val="0"/>
                <w:numId w:val="6"/>
              </w:numPr>
              <w:spacing w:after="0" w:line="240" w:lineRule="auto"/>
              <w:jc w:val="both"/>
              <w:rPr>
                <w:rFonts w:ascii="Times New Roman" w:hAnsi="Times New Roman"/>
                <w:sz w:val="20"/>
                <w:szCs w:val="20"/>
              </w:rPr>
            </w:pPr>
            <w:r w:rsidRPr="002B47B3">
              <w:rPr>
                <w:rFonts w:ascii="Times New Roman" w:hAnsi="Times New Roman"/>
                <w:sz w:val="20"/>
                <w:szCs w:val="20"/>
              </w:rPr>
              <w:t>Gastronomia</w:t>
            </w:r>
          </w:p>
          <w:p w:rsidR="000B2C48" w:rsidRPr="002B47B3" w:rsidRDefault="000B2C48" w:rsidP="000B2C48">
            <w:pPr>
              <w:pStyle w:val="Paragrafoelenco"/>
              <w:numPr>
                <w:ilvl w:val="0"/>
                <w:numId w:val="6"/>
              </w:numPr>
              <w:spacing w:after="0" w:line="240" w:lineRule="auto"/>
              <w:jc w:val="both"/>
              <w:rPr>
                <w:rFonts w:ascii="Times New Roman" w:hAnsi="Times New Roman"/>
                <w:sz w:val="20"/>
                <w:szCs w:val="20"/>
              </w:rPr>
            </w:pPr>
            <w:proofErr w:type="spellStart"/>
            <w:proofErr w:type="gramStart"/>
            <w:r w:rsidRPr="002B47B3">
              <w:rPr>
                <w:rFonts w:ascii="Times New Roman" w:hAnsi="Times New Roman"/>
                <w:sz w:val="20"/>
                <w:szCs w:val="20"/>
              </w:rPr>
              <w:t>Pasticc</w:t>
            </w:r>
            <w:proofErr w:type="spellEnd"/>
            <w:r w:rsidRPr="002B47B3">
              <w:rPr>
                <w:rFonts w:ascii="Times New Roman" w:hAnsi="Times New Roman"/>
                <w:sz w:val="20"/>
                <w:szCs w:val="20"/>
              </w:rPr>
              <w:t>.</w:t>
            </w:r>
            <w:proofErr w:type="gramEnd"/>
            <w:r w:rsidRPr="002B47B3">
              <w:rPr>
                <w:rFonts w:ascii="Times New Roman" w:hAnsi="Times New Roman"/>
                <w:sz w:val="20"/>
                <w:szCs w:val="20"/>
              </w:rPr>
              <w:t xml:space="preserve"> </w:t>
            </w:r>
            <w:proofErr w:type="spellStart"/>
            <w:r w:rsidRPr="002B47B3">
              <w:rPr>
                <w:rFonts w:ascii="Times New Roman" w:hAnsi="Times New Roman"/>
                <w:sz w:val="20"/>
                <w:szCs w:val="20"/>
              </w:rPr>
              <w:t>surgel</w:t>
            </w:r>
            <w:proofErr w:type="spellEnd"/>
            <w:r w:rsidRPr="002B47B3">
              <w:rPr>
                <w:rFonts w:ascii="Times New Roman" w:hAnsi="Times New Roman"/>
                <w:sz w:val="20"/>
                <w:szCs w:val="20"/>
              </w:rPr>
              <w:t>. e non</w:t>
            </w:r>
          </w:p>
          <w:p w:rsidR="000B2C48" w:rsidRPr="002B47B3" w:rsidRDefault="000B2C48" w:rsidP="000B2C48">
            <w:pPr>
              <w:pStyle w:val="Paragrafoelenco"/>
              <w:numPr>
                <w:ilvl w:val="0"/>
                <w:numId w:val="6"/>
              </w:numPr>
              <w:spacing w:after="0" w:line="240" w:lineRule="auto"/>
              <w:jc w:val="both"/>
              <w:rPr>
                <w:rFonts w:ascii="Times New Roman" w:hAnsi="Times New Roman"/>
                <w:sz w:val="20"/>
                <w:szCs w:val="20"/>
              </w:rPr>
            </w:pPr>
            <w:r w:rsidRPr="002B47B3">
              <w:rPr>
                <w:rFonts w:ascii="Times New Roman" w:hAnsi="Times New Roman"/>
                <w:sz w:val="20"/>
                <w:szCs w:val="20"/>
              </w:rPr>
              <w:t>Torte gelato</w:t>
            </w:r>
          </w:p>
          <w:p w:rsidR="000B2C48" w:rsidRPr="002B47B3" w:rsidRDefault="000B2C48" w:rsidP="000B2C48">
            <w:pPr>
              <w:pStyle w:val="Paragrafoelenco"/>
              <w:numPr>
                <w:ilvl w:val="0"/>
                <w:numId w:val="6"/>
              </w:numPr>
              <w:spacing w:after="0" w:line="240" w:lineRule="auto"/>
              <w:jc w:val="both"/>
              <w:rPr>
                <w:rFonts w:ascii="Times New Roman" w:hAnsi="Times New Roman"/>
                <w:sz w:val="20"/>
                <w:szCs w:val="20"/>
              </w:rPr>
            </w:pPr>
            <w:r w:rsidRPr="002B47B3">
              <w:rPr>
                <w:rFonts w:ascii="Times New Roman" w:hAnsi="Times New Roman"/>
                <w:sz w:val="20"/>
                <w:szCs w:val="20"/>
              </w:rPr>
              <w:t>Liquori</w:t>
            </w:r>
          </w:p>
        </w:tc>
        <w:tc>
          <w:tcPr>
            <w:tcW w:w="3844" w:type="dxa"/>
          </w:tcPr>
          <w:p w:rsidR="000B2C48" w:rsidRPr="002B47B3" w:rsidRDefault="000B2C48" w:rsidP="000B2C48">
            <w:pPr>
              <w:pStyle w:val="Paragrafoelenco"/>
              <w:numPr>
                <w:ilvl w:val="0"/>
                <w:numId w:val="6"/>
              </w:numPr>
              <w:spacing w:before="240" w:after="0" w:line="240" w:lineRule="auto"/>
              <w:jc w:val="both"/>
              <w:rPr>
                <w:rFonts w:ascii="Times New Roman" w:hAnsi="Times New Roman"/>
                <w:sz w:val="20"/>
                <w:szCs w:val="20"/>
              </w:rPr>
            </w:pPr>
            <w:proofErr w:type="spellStart"/>
            <w:r w:rsidRPr="002B47B3">
              <w:rPr>
                <w:rFonts w:ascii="Times New Roman" w:hAnsi="Times New Roman"/>
                <w:sz w:val="20"/>
                <w:szCs w:val="20"/>
              </w:rPr>
              <w:t>Sticks</w:t>
            </w:r>
            <w:proofErr w:type="spellEnd"/>
            <w:r w:rsidRPr="002B47B3">
              <w:rPr>
                <w:rFonts w:ascii="Times New Roman" w:hAnsi="Times New Roman"/>
                <w:sz w:val="20"/>
                <w:szCs w:val="20"/>
              </w:rPr>
              <w:t xml:space="preserve"> e </w:t>
            </w:r>
            <w:proofErr w:type="spellStart"/>
            <w:r w:rsidRPr="002B47B3">
              <w:rPr>
                <w:rFonts w:ascii="Times New Roman" w:hAnsi="Times New Roman"/>
                <w:sz w:val="20"/>
                <w:szCs w:val="20"/>
              </w:rPr>
              <w:t>minicharms</w:t>
            </w:r>
            <w:proofErr w:type="spellEnd"/>
          </w:p>
        </w:tc>
      </w:tr>
      <w:tr w:rsidR="000B2C48" w:rsidRPr="002B47B3" w:rsidTr="00C65431">
        <w:tc>
          <w:tcPr>
            <w:tcW w:w="1809" w:type="dxa"/>
          </w:tcPr>
          <w:p w:rsidR="000B2C48" w:rsidRPr="002B47B3" w:rsidRDefault="000B2C48" w:rsidP="00C65431">
            <w:pPr>
              <w:spacing w:before="240" w:after="0" w:line="360" w:lineRule="auto"/>
              <w:jc w:val="both"/>
              <w:rPr>
                <w:rFonts w:ascii="Times New Roman" w:hAnsi="Times New Roman"/>
                <w:sz w:val="20"/>
                <w:szCs w:val="20"/>
              </w:rPr>
            </w:pPr>
            <w:r w:rsidRPr="002B47B3">
              <w:rPr>
                <w:rFonts w:ascii="Times New Roman" w:hAnsi="Times New Roman"/>
                <w:sz w:val="20"/>
                <w:szCs w:val="20"/>
              </w:rPr>
              <w:t>San Martino B.A.</w:t>
            </w:r>
          </w:p>
        </w:tc>
        <w:tc>
          <w:tcPr>
            <w:tcW w:w="3953" w:type="dxa"/>
          </w:tcPr>
          <w:p w:rsidR="000B2C48" w:rsidRPr="002B47B3" w:rsidRDefault="000B2C48" w:rsidP="000B2C48">
            <w:pPr>
              <w:pStyle w:val="Paragrafoelenco"/>
              <w:numPr>
                <w:ilvl w:val="0"/>
                <w:numId w:val="7"/>
              </w:numPr>
              <w:spacing w:after="0" w:line="240" w:lineRule="auto"/>
              <w:jc w:val="both"/>
              <w:rPr>
                <w:rFonts w:ascii="Times New Roman" w:hAnsi="Times New Roman"/>
                <w:sz w:val="20"/>
                <w:szCs w:val="20"/>
              </w:rPr>
            </w:pPr>
            <w:r w:rsidRPr="002B47B3">
              <w:rPr>
                <w:rFonts w:ascii="Times New Roman" w:hAnsi="Times New Roman"/>
                <w:sz w:val="20"/>
                <w:szCs w:val="20"/>
              </w:rPr>
              <w:t>Pandoro</w:t>
            </w:r>
          </w:p>
          <w:p w:rsidR="000B2C48" w:rsidRPr="002B47B3" w:rsidRDefault="000B2C48" w:rsidP="000B2C48">
            <w:pPr>
              <w:pStyle w:val="Paragrafoelenco"/>
              <w:numPr>
                <w:ilvl w:val="0"/>
                <w:numId w:val="7"/>
              </w:numPr>
              <w:spacing w:after="0" w:line="240" w:lineRule="auto"/>
              <w:jc w:val="both"/>
              <w:rPr>
                <w:rFonts w:ascii="Times New Roman" w:hAnsi="Times New Roman"/>
                <w:sz w:val="20"/>
                <w:szCs w:val="20"/>
              </w:rPr>
            </w:pPr>
            <w:r w:rsidRPr="002B47B3">
              <w:rPr>
                <w:rFonts w:ascii="Times New Roman" w:hAnsi="Times New Roman"/>
                <w:sz w:val="20"/>
                <w:szCs w:val="20"/>
              </w:rPr>
              <w:t xml:space="preserve">Monodose non </w:t>
            </w:r>
            <w:proofErr w:type="spellStart"/>
            <w:r w:rsidRPr="002B47B3">
              <w:rPr>
                <w:rFonts w:ascii="Times New Roman" w:hAnsi="Times New Roman"/>
                <w:sz w:val="20"/>
                <w:szCs w:val="20"/>
              </w:rPr>
              <w:t>liev</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7"/>
              </w:numPr>
              <w:spacing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7"/>
              </w:numPr>
              <w:spacing w:after="0" w:line="240" w:lineRule="auto"/>
              <w:jc w:val="both"/>
              <w:rPr>
                <w:rFonts w:ascii="Times New Roman" w:hAnsi="Times New Roman"/>
                <w:sz w:val="20"/>
                <w:szCs w:val="20"/>
              </w:rPr>
            </w:pPr>
            <w:r w:rsidRPr="002B47B3">
              <w:rPr>
                <w:rFonts w:ascii="Times New Roman" w:hAnsi="Times New Roman"/>
                <w:sz w:val="20"/>
                <w:szCs w:val="20"/>
              </w:rPr>
              <w:t>Biscotti e crack.</w:t>
            </w:r>
          </w:p>
        </w:tc>
        <w:tc>
          <w:tcPr>
            <w:tcW w:w="3844" w:type="dxa"/>
          </w:tcPr>
          <w:p w:rsidR="000B2C48" w:rsidRPr="002B47B3" w:rsidRDefault="000B2C48" w:rsidP="000B2C48">
            <w:pPr>
              <w:pStyle w:val="Paragrafoelenco"/>
              <w:numPr>
                <w:ilvl w:val="0"/>
                <w:numId w:val="7"/>
              </w:numPr>
              <w:spacing w:before="240" w:after="0" w:line="240" w:lineRule="auto"/>
              <w:jc w:val="both"/>
              <w:rPr>
                <w:rFonts w:ascii="Times New Roman" w:hAnsi="Times New Roman"/>
                <w:sz w:val="20"/>
                <w:szCs w:val="20"/>
              </w:rPr>
            </w:pPr>
            <w:r w:rsidRPr="002B47B3">
              <w:rPr>
                <w:rFonts w:ascii="Times New Roman" w:hAnsi="Times New Roman"/>
                <w:sz w:val="20"/>
                <w:szCs w:val="20"/>
              </w:rPr>
              <w:t>Pandoro</w:t>
            </w:r>
          </w:p>
          <w:p w:rsidR="000B2C48" w:rsidRPr="002B47B3" w:rsidRDefault="000B2C48" w:rsidP="000B2C48">
            <w:pPr>
              <w:pStyle w:val="Paragrafoelenco"/>
              <w:numPr>
                <w:ilvl w:val="0"/>
                <w:numId w:val="7"/>
              </w:numPr>
              <w:spacing w:before="240" w:after="0" w:line="240" w:lineRule="auto"/>
              <w:jc w:val="both"/>
              <w:rPr>
                <w:rFonts w:ascii="Times New Roman" w:hAnsi="Times New Roman"/>
                <w:sz w:val="20"/>
                <w:szCs w:val="20"/>
              </w:rPr>
            </w:pPr>
            <w:r w:rsidRPr="002B47B3">
              <w:rPr>
                <w:rFonts w:ascii="Times New Roman" w:hAnsi="Times New Roman"/>
                <w:sz w:val="20"/>
                <w:szCs w:val="20"/>
              </w:rPr>
              <w:t xml:space="preserve">Monodose non </w:t>
            </w:r>
            <w:proofErr w:type="spellStart"/>
            <w:r w:rsidRPr="002B47B3">
              <w:rPr>
                <w:rFonts w:ascii="Times New Roman" w:hAnsi="Times New Roman"/>
                <w:sz w:val="20"/>
                <w:szCs w:val="20"/>
              </w:rPr>
              <w:t>liev</w:t>
            </w:r>
            <w:proofErr w:type="spellEnd"/>
            <w:r w:rsidRPr="002B47B3">
              <w:rPr>
                <w:rFonts w:ascii="Times New Roman" w:hAnsi="Times New Roman"/>
                <w:sz w:val="20"/>
                <w:szCs w:val="20"/>
              </w:rPr>
              <w:t>.</w:t>
            </w:r>
          </w:p>
          <w:p w:rsidR="000B2C48" w:rsidRPr="002B47B3" w:rsidRDefault="000B2C48" w:rsidP="000B2C48">
            <w:pPr>
              <w:pStyle w:val="Paragrafoelenco"/>
              <w:numPr>
                <w:ilvl w:val="0"/>
                <w:numId w:val="7"/>
              </w:numPr>
              <w:spacing w:before="240"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7"/>
              </w:numPr>
              <w:spacing w:before="240" w:after="0" w:line="240" w:lineRule="auto"/>
              <w:jc w:val="both"/>
              <w:rPr>
                <w:rFonts w:ascii="Times New Roman" w:hAnsi="Times New Roman"/>
                <w:sz w:val="20"/>
                <w:szCs w:val="20"/>
              </w:rPr>
            </w:pPr>
            <w:r w:rsidRPr="002B47B3">
              <w:rPr>
                <w:rFonts w:ascii="Times New Roman" w:hAnsi="Times New Roman"/>
                <w:sz w:val="20"/>
                <w:szCs w:val="20"/>
              </w:rPr>
              <w:t>Biscotti e crack.</w:t>
            </w:r>
          </w:p>
          <w:p w:rsidR="000B2C48" w:rsidRPr="002B47B3" w:rsidRDefault="000B2C48" w:rsidP="000B2C48">
            <w:pPr>
              <w:pStyle w:val="Paragrafoelenco"/>
              <w:numPr>
                <w:ilvl w:val="0"/>
                <w:numId w:val="7"/>
              </w:numPr>
              <w:spacing w:before="240" w:after="0" w:line="240" w:lineRule="auto"/>
              <w:jc w:val="both"/>
              <w:rPr>
                <w:rFonts w:ascii="Times New Roman" w:hAnsi="Times New Roman"/>
                <w:sz w:val="20"/>
                <w:szCs w:val="20"/>
              </w:rPr>
            </w:pPr>
            <w:proofErr w:type="spellStart"/>
            <w:r w:rsidRPr="002B47B3">
              <w:rPr>
                <w:rFonts w:ascii="Times New Roman" w:hAnsi="Times New Roman"/>
                <w:sz w:val="20"/>
                <w:szCs w:val="20"/>
              </w:rPr>
              <w:t>Pluridose</w:t>
            </w:r>
            <w:proofErr w:type="spellEnd"/>
            <w:r w:rsidRPr="002B47B3">
              <w:rPr>
                <w:rFonts w:ascii="Times New Roman" w:hAnsi="Times New Roman"/>
                <w:sz w:val="20"/>
                <w:szCs w:val="20"/>
              </w:rPr>
              <w:t xml:space="preserve"> lievitate</w:t>
            </w:r>
          </w:p>
        </w:tc>
      </w:tr>
      <w:tr w:rsidR="000B2C48" w:rsidRPr="002B47B3" w:rsidTr="00C65431">
        <w:tc>
          <w:tcPr>
            <w:tcW w:w="1809" w:type="dxa"/>
          </w:tcPr>
          <w:p w:rsidR="000B2C48" w:rsidRPr="002B47B3" w:rsidRDefault="000B2C48" w:rsidP="00C65431">
            <w:pPr>
              <w:spacing w:before="240" w:after="0" w:line="360" w:lineRule="auto"/>
              <w:jc w:val="both"/>
              <w:rPr>
                <w:rFonts w:ascii="Times New Roman" w:hAnsi="Times New Roman"/>
                <w:sz w:val="20"/>
                <w:szCs w:val="20"/>
              </w:rPr>
            </w:pPr>
            <w:r w:rsidRPr="002B47B3">
              <w:rPr>
                <w:rFonts w:ascii="Times New Roman" w:hAnsi="Times New Roman"/>
                <w:sz w:val="20"/>
                <w:szCs w:val="20"/>
              </w:rPr>
              <w:t>Napoli</w:t>
            </w:r>
          </w:p>
        </w:tc>
        <w:tc>
          <w:tcPr>
            <w:tcW w:w="3953" w:type="dxa"/>
          </w:tcPr>
          <w:p w:rsidR="000B2C48" w:rsidRPr="002B47B3" w:rsidRDefault="000B2C48" w:rsidP="000B2C48">
            <w:pPr>
              <w:pStyle w:val="Paragrafoelenco"/>
              <w:numPr>
                <w:ilvl w:val="0"/>
                <w:numId w:val="8"/>
              </w:numPr>
              <w:spacing w:after="0" w:line="240" w:lineRule="auto"/>
              <w:jc w:val="both"/>
              <w:rPr>
                <w:rFonts w:ascii="Times New Roman" w:hAnsi="Times New Roman"/>
                <w:sz w:val="20"/>
                <w:szCs w:val="20"/>
              </w:rPr>
            </w:pPr>
            <w:r w:rsidRPr="002B47B3">
              <w:rPr>
                <w:rFonts w:ascii="Times New Roman" w:hAnsi="Times New Roman"/>
                <w:sz w:val="20"/>
                <w:szCs w:val="20"/>
              </w:rPr>
              <w:t>Monodose lievitate</w:t>
            </w:r>
          </w:p>
          <w:p w:rsidR="000B2C48" w:rsidRPr="002B47B3" w:rsidRDefault="000B2C48" w:rsidP="000B2C48">
            <w:pPr>
              <w:pStyle w:val="Paragrafoelenco"/>
              <w:numPr>
                <w:ilvl w:val="0"/>
                <w:numId w:val="8"/>
              </w:numPr>
              <w:spacing w:after="0" w:line="240" w:lineRule="auto"/>
              <w:jc w:val="both"/>
              <w:rPr>
                <w:rFonts w:ascii="Times New Roman" w:hAnsi="Times New Roman"/>
                <w:sz w:val="20"/>
                <w:szCs w:val="20"/>
              </w:rPr>
            </w:pPr>
            <w:r w:rsidRPr="002B47B3">
              <w:rPr>
                <w:rFonts w:ascii="Times New Roman" w:hAnsi="Times New Roman"/>
                <w:sz w:val="20"/>
                <w:szCs w:val="20"/>
              </w:rPr>
              <w:t>Gelati</w:t>
            </w:r>
          </w:p>
        </w:tc>
        <w:tc>
          <w:tcPr>
            <w:tcW w:w="3844" w:type="dxa"/>
          </w:tcPr>
          <w:p w:rsidR="000B2C48" w:rsidRPr="002B47B3" w:rsidRDefault="000B2C48" w:rsidP="000B2C48">
            <w:pPr>
              <w:pStyle w:val="Paragrafoelenco"/>
              <w:numPr>
                <w:ilvl w:val="0"/>
                <w:numId w:val="8"/>
              </w:numPr>
              <w:spacing w:before="240" w:after="0" w:line="240" w:lineRule="auto"/>
              <w:jc w:val="both"/>
              <w:rPr>
                <w:rFonts w:ascii="Times New Roman" w:hAnsi="Times New Roman"/>
                <w:sz w:val="20"/>
                <w:szCs w:val="20"/>
              </w:rPr>
            </w:pPr>
            <w:r w:rsidRPr="002B47B3">
              <w:rPr>
                <w:rFonts w:ascii="Times New Roman" w:hAnsi="Times New Roman"/>
                <w:sz w:val="20"/>
                <w:szCs w:val="20"/>
              </w:rPr>
              <w:t>Monodose lievitate</w:t>
            </w:r>
          </w:p>
        </w:tc>
      </w:tr>
    </w:tbl>
    <w:p w:rsidR="000B2C48" w:rsidRDefault="000B2C48" w:rsidP="000B2C48">
      <w:pPr>
        <w:spacing w:before="240" w:after="0" w:line="360" w:lineRule="auto"/>
        <w:jc w:val="both"/>
        <w:rPr>
          <w:rFonts w:ascii="Times New Roman" w:hAnsi="Times New Roman"/>
          <w:sz w:val="28"/>
          <w:szCs w:val="28"/>
        </w:rPr>
      </w:pPr>
      <w:r>
        <w:rPr>
          <w:rFonts w:ascii="Times New Roman" w:hAnsi="Times New Roman"/>
          <w:sz w:val="28"/>
          <w:szCs w:val="28"/>
        </w:rPr>
        <w:t>Dal punto di vista commerciale, inoltre si puntava sulla rivalutazione dei due marchi riconoscendone l’impiego più adatto ai diversi segmenti di mercato, mettendo in condizione l’</w:t>
      </w:r>
      <w:proofErr w:type="spellStart"/>
      <w:r>
        <w:rPr>
          <w:rFonts w:ascii="Times New Roman" w:hAnsi="Times New Roman"/>
          <w:sz w:val="28"/>
          <w:szCs w:val="28"/>
        </w:rPr>
        <w:t>Unidal</w:t>
      </w:r>
      <w:proofErr w:type="spellEnd"/>
      <w:r>
        <w:rPr>
          <w:rFonts w:ascii="Times New Roman" w:hAnsi="Times New Roman"/>
          <w:sz w:val="28"/>
          <w:szCs w:val="28"/>
        </w:rPr>
        <w:t xml:space="preserve"> di poter gestire meglio i due gruppi, dividendola in due Divisioni Operative (Divisione </w:t>
      </w:r>
      <w:proofErr w:type="gramStart"/>
      <w:r>
        <w:rPr>
          <w:rFonts w:ascii="Times New Roman" w:hAnsi="Times New Roman"/>
          <w:sz w:val="28"/>
          <w:szCs w:val="28"/>
        </w:rPr>
        <w:t>Alimentare</w:t>
      </w:r>
      <w:proofErr w:type="gramEnd"/>
      <w:r>
        <w:rPr>
          <w:rFonts w:ascii="Times New Roman" w:hAnsi="Times New Roman"/>
          <w:sz w:val="28"/>
          <w:szCs w:val="28"/>
        </w:rPr>
        <w:t xml:space="preserve"> e Divisione Dolciaria) con specifici organi di marketing e budget pubblicitari. Anche gli esercizi commerciali e di distribuzione avrebbero subìto un riassetto generale. In particolare sarebbe </w:t>
      </w:r>
      <w:proofErr w:type="gramStart"/>
      <w:r>
        <w:rPr>
          <w:rFonts w:ascii="Times New Roman" w:hAnsi="Times New Roman"/>
          <w:sz w:val="28"/>
          <w:szCs w:val="28"/>
        </w:rPr>
        <w:t>state</w:t>
      </w:r>
      <w:proofErr w:type="gramEnd"/>
      <w:r>
        <w:rPr>
          <w:rFonts w:ascii="Times New Roman" w:hAnsi="Times New Roman"/>
          <w:sz w:val="28"/>
          <w:szCs w:val="28"/>
        </w:rPr>
        <w:t xml:space="preserve"> scorporate le attività degli esercizi autostradali di Alemagna e Motta, unite in un’unica società </w:t>
      </w:r>
      <w:r>
        <w:rPr>
          <w:rFonts w:ascii="Times New Roman" w:hAnsi="Times New Roman"/>
          <w:sz w:val="28"/>
          <w:szCs w:val="28"/>
        </w:rPr>
        <w:lastRenderedPageBreak/>
        <w:t>insieme all’</w:t>
      </w:r>
      <w:proofErr w:type="spellStart"/>
      <w:r>
        <w:rPr>
          <w:rFonts w:ascii="Times New Roman" w:hAnsi="Times New Roman"/>
          <w:sz w:val="28"/>
          <w:szCs w:val="28"/>
        </w:rPr>
        <w:t>Alivar</w:t>
      </w:r>
      <w:proofErr w:type="spellEnd"/>
      <w:r>
        <w:rPr>
          <w:rFonts w:ascii="Times New Roman" w:hAnsi="Times New Roman"/>
          <w:sz w:val="28"/>
          <w:szCs w:val="28"/>
        </w:rPr>
        <w:t>, la Autogrill S.p.A., come si è visto nel capitolo precedente. Il gruppo si sarebbe così ritrovato a gestire 266 esercizi ripartiti in questo modo;</w:t>
      </w:r>
      <w:r>
        <w:rPr>
          <w:rStyle w:val="Rimandonotaapidipagina"/>
          <w:rFonts w:ascii="Times New Roman" w:hAnsi="Times New Roman"/>
          <w:sz w:val="28"/>
          <w:szCs w:val="28"/>
        </w:rPr>
        <w:footnoteReference w:id="20"/>
      </w:r>
    </w:p>
    <w:p w:rsidR="000B2C48" w:rsidRDefault="000B2C48" w:rsidP="000B2C48">
      <w:pPr>
        <w:pStyle w:val="Paragrafoelenco"/>
        <w:numPr>
          <w:ilvl w:val="0"/>
          <w:numId w:val="9"/>
        </w:numPr>
        <w:spacing w:before="240" w:after="0" w:line="360" w:lineRule="auto"/>
        <w:jc w:val="both"/>
        <w:rPr>
          <w:rFonts w:ascii="Times New Roman" w:hAnsi="Times New Roman"/>
          <w:sz w:val="28"/>
          <w:szCs w:val="28"/>
        </w:rPr>
      </w:pPr>
      <w:r>
        <w:rPr>
          <w:rFonts w:ascii="Times New Roman" w:hAnsi="Times New Roman"/>
          <w:sz w:val="28"/>
          <w:szCs w:val="28"/>
        </w:rPr>
        <w:t>Alemagna</w:t>
      </w:r>
      <w:r>
        <w:rPr>
          <w:rFonts w:ascii="Times New Roman" w:hAnsi="Times New Roman"/>
          <w:sz w:val="28"/>
          <w:szCs w:val="28"/>
        </w:rPr>
        <w:tab/>
        <w:t>126 (</w:t>
      </w:r>
      <w:proofErr w:type="spellStart"/>
      <w:r>
        <w:rPr>
          <w:rFonts w:ascii="Times New Roman" w:hAnsi="Times New Roman"/>
          <w:sz w:val="28"/>
          <w:szCs w:val="28"/>
        </w:rPr>
        <w:t>autobar</w:t>
      </w:r>
      <w:proofErr w:type="spellEnd"/>
      <w:r>
        <w:rPr>
          <w:rFonts w:ascii="Times New Roman" w:hAnsi="Times New Roman"/>
          <w:sz w:val="28"/>
          <w:szCs w:val="28"/>
        </w:rPr>
        <w:t>)</w:t>
      </w:r>
    </w:p>
    <w:p w:rsidR="000B2C48" w:rsidRPr="00617FA9" w:rsidRDefault="000B2C48" w:rsidP="000B2C48">
      <w:pPr>
        <w:pStyle w:val="Paragrafoelenco"/>
        <w:numPr>
          <w:ilvl w:val="0"/>
          <w:numId w:val="9"/>
        </w:numPr>
        <w:spacing w:before="240" w:after="0" w:line="360" w:lineRule="auto"/>
        <w:jc w:val="both"/>
        <w:rPr>
          <w:rFonts w:ascii="Times New Roman" w:hAnsi="Times New Roman"/>
          <w:sz w:val="28"/>
          <w:szCs w:val="28"/>
          <w:lang w:val="en-US"/>
        </w:rPr>
      </w:pPr>
      <w:proofErr w:type="spellStart"/>
      <w:r w:rsidRPr="00617FA9">
        <w:rPr>
          <w:rFonts w:ascii="Times New Roman" w:hAnsi="Times New Roman"/>
          <w:sz w:val="28"/>
          <w:szCs w:val="28"/>
          <w:lang w:val="en-US"/>
        </w:rPr>
        <w:t>Alivar</w:t>
      </w:r>
      <w:proofErr w:type="spellEnd"/>
      <w:r w:rsidRPr="00617FA9">
        <w:rPr>
          <w:rFonts w:ascii="Times New Roman" w:hAnsi="Times New Roman"/>
          <w:sz w:val="28"/>
          <w:szCs w:val="28"/>
          <w:lang w:val="en-US"/>
        </w:rPr>
        <w:t xml:space="preserve"> </w:t>
      </w:r>
      <w:r w:rsidRPr="00617FA9">
        <w:rPr>
          <w:rFonts w:ascii="Times New Roman" w:hAnsi="Times New Roman"/>
          <w:sz w:val="28"/>
          <w:szCs w:val="28"/>
          <w:lang w:val="en-US"/>
        </w:rPr>
        <w:tab/>
        <w:t>99 (40 grill e 59 snack bar)</w:t>
      </w:r>
    </w:p>
    <w:p w:rsidR="000B2C48" w:rsidRDefault="000B2C48" w:rsidP="000B2C48">
      <w:pPr>
        <w:pStyle w:val="Paragrafoelenco"/>
        <w:numPr>
          <w:ilvl w:val="0"/>
          <w:numId w:val="9"/>
        </w:numPr>
        <w:spacing w:before="240" w:after="0" w:line="360" w:lineRule="auto"/>
        <w:jc w:val="both"/>
        <w:rPr>
          <w:rFonts w:ascii="Times New Roman" w:hAnsi="Times New Roman"/>
          <w:sz w:val="28"/>
          <w:szCs w:val="28"/>
          <w:lang w:val="en-US"/>
        </w:rPr>
      </w:pPr>
      <w:r>
        <w:rPr>
          <w:rFonts w:ascii="Times New Roman" w:hAnsi="Times New Roman"/>
          <w:sz w:val="28"/>
          <w:szCs w:val="28"/>
          <w:lang w:val="en-US"/>
        </w:rPr>
        <w:t>Motta</w:t>
      </w:r>
      <w:r>
        <w:rPr>
          <w:rFonts w:ascii="Times New Roman" w:hAnsi="Times New Roman"/>
          <w:sz w:val="28"/>
          <w:szCs w:val="28"/>
          <w:lang w:val="en-US"/>
        </w:rPr>
        <w:tab/>
      </w:r>
      <w:r>
        <w:rPr>
          <w:rFonts w:ascii="Times New Roman" w:hAnsi="Times New Roman"/>
          <w:sz w:val="28"/>
          <w:szCs w:val="28"/>
          <w:lang w:val="en-US"/>
        </w:rPr>
        <w:tab/>
        <w:t>41 (12 grill, 20 snack bar e 9 fast food)</w:t>
      </w:r>
    </w:p>
    <w:p w:rsidR="000B2C48" w:rsidRDefault="000B2C48" w:rsidP="000B2C48">
      <w:pPr>
        <w:spacing w:after="0" w:line="360" w:lineRule="auto"/>
        <w:jc w:val="both"/>
        <w:rPr>
          <w:rFonts w:ascii="Times New Roman" w:hAnsi="Times New Roman"/>
          <w:sz w:val="28"/>
          <w:szCs w:val="28"/>
        </w:rPr>
      </w:pPr>
      <w:r w:rsidRPr="001E23DA">
        <w:rPr>
          <w:rFonts w:ascii="Times New Roman" w:hAnsi="Times New Roman"/>
          <w:sz w:val="28"/>
          <w:szCs w:val="28"/>
        </w:rPr>
        <w:t>Scorporate anche</w:t>
      </w:r>
      <w:r>
        <w:rPr>
          <w:rFonts w:ascii="Times New Roman" w:hAnsi="Times New Roman"/>
          <w:sz w:val="28"/>
          <w:szCs w:val="28"/>
        </w:rPr>
        <w:t xml:space="preserve"> le attività gelatiere, conferite alla </w:t>
      </w:r>
      <w:proofErr w:type="spellStart"/>
      <w:r>
        <w:rPr>
          <w:rFonts w:ascii="Times New Roman" w:hAnsi="Times New Roman"/>
          <w:sz w:val="28"/>
          <w:szCs w:val="28"/>
        </w:rPr>
        <w:t>Tanara</w:t>
      </w:r>
      <w:proofErr w:type="spellEnd"/>
      <w:r>
        <w:rPr>
          <w:rFonts w:ascii="Times New Roman" w:hAnsi="Times New Roman"/>
          <w:sz w:val="28"/>
          <w:szCs w:val="28"/>
        </w:rPr>
        <w:t xml:space="preserve"> S.p.A. (di proprietà dell’</w:t>
      </w:r>
      <w:proofErr w:type="spellStart"/>
      <w:r>
        <w:rPr>
          <w:rFonts w:ascii="Times New Roman" w:hAnsi="Times New Roman"/>
          <w:sz w:val="28"/>
          <w:szCs w:val="28"/>
        </w:rPr>
        <w:t>Unidal</w:t>
      </w:r>
      <w:proofErr w:type="spellEnd"/>
      <w:r>
        <w:rPr>
          <w:rFonts w:ascii="Times New Roman" w:hAnsi="Times New Roman"/>
          <w:sz w:val="28"/>
          <w:szCs w:val="28"/>
        </w:rPr>
        <w:t>) nel 1976, non fu però possibile avviare la parte principale del piano, e cioè il riassetto produttivo, commerciale e organizzativo della società. In una situazione in cui le attività dell’</w:t>
      </w:r>
      <w:proofErr w:type="spellStart"/>
      <w:r>
        <w:rPr>
          <w:rFonts w:ascii="Times New Roman" w:hAnsi="Times New Roman"/>
          <w:sz w:val="28"/>
          <w:szCs w:val="28"/>
        </w:rPr>
        <w:t>Unidal</w:t>
      </w:r>
      <w:proofErr w:type="spellEnd"/>
      <w:r>
        <w:rPr>
          <w:rFonts w:ascii="Times New Roman" w:hAnsi="Times New Roman"/>
          <w:sz w:val="28"/>
          <w:szCs w:val="28"/>
        </w:rPr>
        <w:t xml:space="preserve"> continuavano ad accumulare perdite</w:t>
      </w:r>
      <w:r w:rsidRPr="001E23DA">
        <w:rPr>
          <w:rFonts w:ascii="Times New Roman" w:hAnsi="Times New Roman"/>
          <w:sz w:val="28"/>
          <w:szCs w:val="28"/>
        </w:rPr>
        <w:t xml:space="preserve"> </w:t>
      </w:r>
      <w:r>
        <w:rPr>
          <w:rFonts w:ascii="Times New Roman" w:hAnsi="Times New Roman"/>
          <w:sz w:val="28"/>
          <w:szCs w:val="28"/>
        </w:rPr>
        <w:t xml:space="preserve">(a causa delle quali i fornitori non assicuravano più le consegne a fronte di enormi crediti insoluti, e le banche ottenevano in alcuni casi provvedimenti giudiziari cautelativi), la SME fu costretta </w:t>
      </w:r>
      <w:proofErr w:type="gramStart"/>
      <w:r>
        <w:rPr>
          <w:rFonts w:ascii="Times New Roman" w:hAnsi="Times New Roman"/>
          <w:sz w:val="28"/>
          <w:szCs w:val="28"/>
        </w:rPr>
        <w:t>ad</w:t>
      </w:r>
      <w:proofErr w:type="gramEnd"/>
      <w:r>
        <w:rPr>
          <w:rFonts w:ascii="Times New Roman" w:hAnsi="Times New Roman"/>
          <w:sz w:val="28"/>
          <w:szCs w:val="28"/>
        </w:rPr>
        <w:t xml:space="preserve"> intervenire con un’ulteriore finanziamento, di 26,6 miliardi di lire.</w:t>
      </w:r>
      <w:r>
        <w:rPr>
          <w:rStyle w:val="Rimandonotaapidipagina"/>
          <w:rFonts w:ascii="Times New Roman" w:hAnsi="Times New Roman"/>
          <w:sz w:val="28"/>
          <w:szCs w:val="28"/>
        </w:rPr>
        <w:footnoteReference w:id="21"/>
      </w:r>
      <w:r>
        <w:rPr>
          <w:rFonts w:ascii="Times New Roman" w:hAnsi="Times New Roman"/>
          <w:sz w:val="28"/>
          <w:szCs w:val="28"/>
        </w:rPr>
        <w:t xml:space="preserve"> Ma nel primo semestre del 1977, le perdite accumulate arrivarono a </w:t>
      </w:r>
      <w:proofErr w:type="gramStart"/>
      <w:r>
        <w:rPr>
          <w:rFonts w:ascii="Times New Roman" w:hAnsi="Times New Roman"/>
          <w:sz w:val="28"/>
          <w:szCs w:val="28"/>
        </w:rPr>
        <w:t>30</w:t>
      </w:r>
      <w:proofErr w:type="gramEnd"/>
      <w:r>
        <w:rPr>
          <w:rFonts w:ascii="Times New Roman" w:hAnsi="Times New Roman"/>
          <w:sz w:val="28"/>
          <w:szCs w:val="28"/>
        </w:rPr>
        <w:t xml:space="preserve"> miliardi e quelle previste per 53 miliardi. Davanti a questa situazione, per evitare un dissesto finanziario della stessa SME, nel settembre del 1977 l’</w:t>
      </w:r>
      <w:proofErr w:type="spellStart"/>
      <w:r>
        <w:rPr>
          <w:rFonts w:ascii="Times New Roman" w:hAnsi="Times New Roman"/>
          <w:sz w:val="28"/>
          <w:szCs w:val="28"/>
        </w:rPr>
        <w:t>Unidal</w:t>
      </w:r>
      <w:proofErr w:type="spellEnd"/>
      <w:r>
        <w:rPr>
          <w:rFonts w:ascii="Times New Roman" w:hAnsi="Times New Roman"/>
          <w:sz w:val="28"/>
          <w:szCs w:val="28"/>
        </w:rPr>
        <w:t xml:space="preserve"> </w:t>
      </w:r>
      <w:proofErr w:type="gramStart"/>
      <w:r>
        <w:rPr>
          <w:rFonts w:ascii="Times New Roman" w:hAnsi="Times New Roman"/>
          <w:sz w:val="28"/>
          <w:szCs w:val="28"/>
        </w:rPr>
        <w:t>venne</w:t>
      </w:r>
      <w:proofErr w:type="gramEnd"/>
      <w:r>
        <w:rPr>
          <w:rFonts w:ascii="Times New Roman" w:hAnsi="Times New Roman"/>
          <w:sz w:val="28"/>
          <w:szCs w:val="28"/>
        </w:rPr>
        <w:t xml:space="preserve"> messa in liquidazione con lo scopo di attuare un ulteriore piano di risanamento, per il quale una nuova società, la </w:t>
      </w:r>
      <w:proofErr w:type="spellStart"/>
      <w:r>
        <w:rPr>
          <w:rFonts w:ascii="Times New Roman" w:hAnsi="Times New Roman"/>
          <w:sz w:val="28"/>
          <w:szCs w:val="28"/>
        </w:rPr>
        <w:t>Sidalm</w:t>
      </w:r>
      <w:proofErr w:type="spellEnd"/>
      <w:r>
        <w:rPr>
          <w:rFonts w:ascii="Times New Roman" w:hAnsi="Times New Roman"/>
          <w:sz w:val="28"/>
          <w:szCs w:val="28"/>
        </w:rPr>
        <w:t xml:space="preserve">, nell’ambito di una finanziaria dell’IRI, la SPA, poi </w:t>
      </w:r>
      <w:proofErr w:type="spellStart"/>
      <w:r>
        <w:rPr>
          <w:rFonts w:ascii="Times New Roman" w:hAnsi="Times New Roman"/>
          <w:sz w:val="28"/>
          <w:szCs w:val="28"/>
        </w:rPr>
        <w:t>Sofin</w:t>
      </w:r>
      <w:proofErr w:type="spellEnd"/>
      <w:r>
        <w:rPr>
          <w:rFonts w:ascii="Times New Roman" w:hAnsi="Times New Roman"/>
          <w:sz w:val="28"/>
          <w:szCs w:val="28"/>
        </w:rPr>
        <w:t>, avrebbe rilevato il 100 per cento delle attività sane dell’</w:t>
      </w:r>
      <w:proofErr w:type="spellStart"/>
      <w:r>
        <w:rPr>
          <w:rFonts w:ascii="Times New Roman" w:hAnsi="Times New Roman"/>
          <w:sz w:val="28"/>
          <w:szCs w:val="28"/>
        </w:rPr>
        <w:t>Unidal</w:t>
      </w:r>
      <w:proofErr w:type="spellEnd"/>
      <w:r>
        <w:rPr>
          <w:rFonts w:ascii="Times New Roman" w:hAnsi="Times New Roman"/>
          <w:sz w:val="28"/>
          <w:szCs w:val="28"/>
        </w:rPr>
        <w:t>.</w:t>
      </w:r>
      <w:r>
        <w:rPr>
          <w:rStyle w:val="Rimandonotaapidipagina"/>
          <w:rFonts w:ascii="Times New Roman" w:hAnsi="Times New Roman"/>
          <w:sz w:val="28"/>
          <w:szCs w:val="28"/>
        </w:rPr>
        <w:footnoteReference w:id="22"/>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Il criterio che seguiva questo nuovo piano era di concentrare le produzioni in pochi stabilimenti specializzati, in modo da contenere i costi fissi di produzione. Questo avrebbe quindi comportato la chiusura degli stabilimenti di Segrate, di Napoli e di via Silva. Nel gennaio del 1978 un accordo tra Governo, Sindacati e IRI consentì di iniziare il processo di risanamento. Fino a quel momento era stato in vigore un altro accordo che predisponeva la messa in liquidazione di </w:t>
      </w:r>
      <w:proofErr w:type="spellStart"/>
      <w:r>
        <w:rPr>
          <w:rFonts w:ascii="Times New Roman" w:hAnsi="Times New Roman"/>
          <w:sz w:val="28"/>
          <w:szCs w:val="28"/>
        </w:rPr>
        <w:t>Unidal</w:t>
      </w:r>
      <w:proofErr w:type="spellEnd"/>
      <w:r>
        <w:rPr>
          <w:rFonts w:ascii="Times New Roman" w:hAnsi="Times New Roman"/>
          <w:sz w:val="28"/>
          <w:szCs w:val="28"/>
        </w:rPr>
        <w:t xml:space="preserve">, ma con l’assicurazione che fino al dicembre 1977 sarebbe rimasta operativa, bloccando quindi la cassa integrazione speciale per migliaia di lavoratori che </w:t>
      </w:r>
      <w:proofErr w:type="gramStart"/>
      <w:r>
        <w:rPr>
          <w:rFonts w:ascii="Times New Roman" w:hAnsi="Times New Roman"/>
          <w:sz w:val="28"/>
          <w:szCs w:val="28"/>
        </w:rPr>
        <w:t>risultavano</w:t>
      </w:r>
      <w:proofErr w:type="gramEnd"/>
      <w:r>
        <w:rPr>
          <w:rFonts w:ascii="Times New Roman" w:hAnsi="Times New Roman"/>
          <w:sz w:val="28"/>
          <w:szCs w:val="28"/>
        </w:rPr>
        <w:t xml:space="preserve"> in esubero. Con il </w:t>
      </w:r>
      <w:r>
        <w:rPr>
          <w:rFonts w:ascii="Times New Roman" w:hAnsi="Times New Roman"/>
          <w:sz w:val="28"/>
          <w:szCs w:val="28"/>
        </w:rPr>
        <w:lastRenderedPageBreak/>
        <w:t xml:space="preserve">nuovo accordo </w:t>
      </w:r>
      <w:proofErr w:type="gramStart"/>
      <w:r>
        <w:rPr>
          <w:rFonts w:ascii="Times New Roman" w:hAnsi="Times New Roman"/>
          <w:sz w:val="28"/>
          <w:szCs w:val="28"/>
        </w:rPr>
        <w:t>veniva</w:t>
      </w:r>
      <w:proofErr w:type="gramEnd"/>
      <w:r>
        <w:rPr>
          <w:rFonts w:ascii="Times New Roman" w:hAnsi="Times New Roman"/>
          <w:sz w:val="28"/>
          <w:szCs w:val="28"/>
        </w:rPr>
        <w:t xml:space="preserve"> invece applicata la legge 675 sulle esuberanze di personale, del 12 agosto 1977.</w:t>
      </w:r>
      <w:r>
        <w:rPr>
          <w:rStyle w:val="Rimandonotaapidipagina"/>
          <w:rFonts w:ascii="Times New Roman" w:hAnsi="Times New Roman"/>
          <w:sz w:val="28"/>
          <w:szCs w:val="28"/>
        </w:rPr>
        <w:footnoteReference w:id="23"/>
      </w:r>
      <w:r>
        <w:rPr>
          <w:rFonts w:ascii="Times New Roman" w:hAnsi="Times New Roman"/>
          <w:sz w:val="28"/>
          <w:szCs w:val="28"/>
        </w:rPr>
        <w:t xml:space="preserve"> Secondo gli accordi la </w:t>
      </w:r>
      <w:proofErr w:type="spellStart"/>
      <w:r>
        <w:rPr>
          <w:rFonts w:ascii="Times New Roman" w:hAnsi="Times New Roman"/>
          <w:sz w:val="28"/>
          <w:szCs w:val="28"/>
        </w:rPr>
        <w:t>Sidalm</w:t>
      </w:r>
      <w:proofErr w:type="spellEnd"/>
      <w:r>
        <w:rPr>
          <w:rFonts w:ascii="Times New Roman" w:hAnsi="Times New Roman"/>
          <w:sz w:val="28"/>
          <w:szCs w:val="28"/>
        </w:rPr>
        <w:t xml:space="preserve"> rilevava completamente la </w:t>
      </w:r>
      <w:proofErr w:type="spellStart"/>
      <w:r>
        <w:rPr>
          <w:rFonts w:ascii="Times New Roman" w:hAnsi="Times New Roman"/>
          <w:sz w:val="28"/>
          <w:szCs w:val="28"/>
        </w:rPr>
        <w:t>Motta-Alemagna</w:t>
      </w:r>
      <w:proofErr w:type="spellEnd"/>
      <w:r>
        <w:rPr>
          <w:rFonts w:ascii="Times New Roman" w:hAnsi="Times New Roman"/>
          <w:sz w:val="28"/>
          <w:szCs w:val="28"/>
        </w:rPr>
        <w:t xml:space="preserve">, con un’occupazione di circa </w:t>
      </w:r>
      <w:proofErr w:type="gramStart"/>
      <w:r>
        <w:rPr>
          <w:rFonts w:ascii="Times New Roman" w:hAnsi="Times New Roman"/>
          <w:sz w:val="28"/>
          <w:szCs w:val="28"/>
        </w:rPr>
        <w:t>4</w:t>
      </w:r>
      <w:proofErr w:type="gramEnd"/>
      <w:r>
        <w:rPr>
          <w:rFonts w:ascii="Times New Roman" w:hAnsi="Times New Roman"/>
          <w:sz w:val="28"/>
          <w:szCs w:val="28"/>
        </w:rPr>
        <w:t xml:space="preserve"> mila unità e con 4 stabilimenti di cui tre da rilevare dall’</w:t>
      </w:r>
      <w:proofErr w:type="spellStart"/>
      <w:r>
        <w:rPr>
          <w:rFonts w:ascii="Times New Roman" w:hAnsi="Times New Roman"/>
          <w:sz w:val="28"/>
          <w:szCs w:val="28"/>
        </w:rPr>
        <w:t>Unidal</w:t>
      </w:r>
      <w:proofErr w:type="spellEnd"/>
      <w:r>
        <w:rPr>
          <w:rFonts w:ascii="Times New Roman" w:hAnsi="Times New Roman"/>
          <w:sz w:val="28"/>
          <w:szCs w:val="28"/>
        </w:rPr>
        <w:t xml:space="preserve"> e uno da costruire nel napoletano. All’</w:t>
      </w:r>
      <w:proofErr w:type="spellStart"/>
      <w:r>
        <w:rPr>
          <w:rFonts w:ascii="Times New Roman" w:hAnsi="Times New Roman"/>
          <w:sz w:val="28"/>
          <w:szCs w:val="28"/>
        </w:rPr>
        <w:t>Unidal</w:t>
      </w:r>
      <w:proofErr w:type="spellEnd"/>
      <w:r>
        <w:rPr>
          <w:rFonts w:ascii="Times New Roman" w:hAnsi="Times New Roman"/>
          <w:sz w:val="28"/>
          <w:szCs w:val="28"/>
        </w:rPr>
        <w:t xml:space="preserve"> sarebbero invece rimasti gli stabilimenti di via Silva a Milano, di Napoli, di Segrate e i negozi urbani, che </w:t>
      </w:r>
      <w:proofErr w:type="gramStart"/>
      <w:r>
        <w:rPr>
          <w:rFonts w:ascii="Times New Roman" w:hAnsi="Times New Roman"/>
          <w:sz w:val="28"/>
          <w:szCs w:val="28"/>
        </w:rPr>
        <w:t>verranno</w:t>
      </w:r>
      <w:proofErr w:type="gramEnd"/>
      <w:r>
        <w:rPr>
          <w:rFonts w:ascii="Times New Roman" w:hAnsi="Times New Roman"/>
          <w:sz w:val="28"/>
          <w:szCs w:val="28"/>
        </w:rPr>
        <w:t xml:space="preserve"> poi acquisiti anch’essi dalla </w:t>
      </w:r>
      <w:proofErr w:type="spellStart"/>
      <w:r>
        <w:rPr>
          <w:rFonts w:ascii="Times New Roman" w:hAnsi="Times New Roman"/>
          <w:sz w:val="28"/>
          <w:szCs w:val="28"/>
        </w:rPr>
        <w:t>Sidalm</w:t>
      </w:r>
      <w:proofErr w:type="spellEnd"/>
      <w:r>
        <w:rPr>
          <w:rFonts w:ascii="Times New Roman" w:hAnsi="Times New Roman"/>
          <w:sz w:val="28"/>
          <w:szCs w:val="28"/>
        </w:rPr>
        <w:t>.</w:t>
      </w:r>
      <w:r>
        <w:rPr>
          <w:rStyle w:val="Rimandonotaapidipagina"/>
          <w:rFonts w:ascii="Times New Roman" w:hAnsi="Times New Roman"/>
          <w:sz w:val="28"/>
          <w:szCs w:val="28"/>
        </w:rPr>
        <w:footnoteReference w:id="24"/>
      </w:r>
      <w:r>
        <w:rPr>
          <w:rFonts w:ascii="Times New Roman" w:hAnsi="Times New Roman"/>
          <w:sz w:val="28"/>
          <w:szCs w:val="28"/>
        </w:rPr>
        <w:t xml:space="preserve"> Nonostante un certo rilancio dei marchi Motta e Alemagna e la crescita, seppur non estesa a tutti i comparti, del settore dolciario, la nuova società </w:t>
      </w:r>
      <w:proofErr w:type="gramStart"/>
      <w:r>
        <w:rPr>
          <w:rFonts w:ascii="Times New Roman" w:hAnsi="Times New Roman"/>
          <w:sz w:val="28"/>
          <w:szCs w:val="28"/>
        </w:rPr>
        <w:t>stentava a vivere</w:t>
      </w:r>
      <w:proofErr w:type="gramEnd"/>
      <w:r>
        <w:rPr>
          <w:rFonts w:ascii="Times New Roman" w:hAnsi="Times New Roman"/>
          <w:sz w:val="28"/>
          <w:szCs w:val="28"/>
        </w:rPr>
        <w:t>, a causa anche dei vecchi debiti e difetti dell’</w:t>
      </w:r>
      <w:proofErr w:type="spellStart"/>
      <w:r>
        <w:rPr>
          <w:rFonts w:ascii="Times New Roman" w:hAnsi="Times New Roman"/>
          <w:sz w:val="28"/>
          <w:szCs w:val="28"/>
        </w:rPr>
        <w:t>Unidal</w:t>
      </w:r>
      <w:proofErr w:type="spellEnd"/>
      <w:r>
        <w:rPr>
          <w:rFonts w:ascii="Times New Roman" w:hAnsi="Times New Roman"/>
          <w:sz w:val="28"/>
          <w:szCs w:val="28"/>
        </w:rPr>
        <w:t xml:space="preserve">. L’equilibrio economico, infatti, non fu mai raggiunto, anzi le perdite continuavano </w:t>
      </w:r>
      <w:proofErr w:type="gramStart"/>
      <w:r>
        <w:rPr>
          <w:rFonts w:ascii="Times New Roman" w:hAnsi="Times New Roman"/>
          <w:sz w:val="28"/>
          <w:szCs w:val="28"/>
        </w:rPr>
        <w:t>ad</w:t>
      </w:r>
      <w:proofErr w:type="gramEnd"/>
      <w:r>
        <w:rPr>
          <w:rFonts w:ascii="Times New Roman" w:hAnsi="Times New Roman"/>
          <w:sz w:val="28"/>
          <w:szCs w:val="28"/>
        </w:rPr>
        <w:t xml:space="preserve"> essere cospicue, come risultano ad esempio i 62 miliardi di perdite del 1985. Il 1983, invece, fu l’unico anno che la </w:t>
      </w:r>
      <w:proofErr w:type="spellStart"/>
      <w:r>
        <w:rPr>
          <w:rFonts w:ascii="Times New Roman" w:hAnsi="Times New Roman"/>
          <w:sz w:val="28"/>
          <w:szCs w:val="28"/>
        </w:rPr>
        <w:t>Sidalm</w:t>
      </w:r>
      <w:proofErr w:type="spellEnd"/>
      <w:r>
        <w:rPr>
          <w:rFonts w:ascii="Times New Roman" w:hAnsi="Times New Roman"/>
          <w:sz w:val="28"/>
          <w:szCs w:val="28"/>
        </w:rPr>
        <w:t xml:space="preserve"> ricoprì con un attivo, seppur limitato (poco più di 600 milioni di lire). Nel 1984, a seguito di una delibera dell’assemblea straordinaria della </w:t>
      </w:r>
      <w:proofErr w:type="spellStart"/>
      <w:r>
        <w:rPr>
          <w:rFonts w:ascii="Times New Roman" w:hAnsi="Times New Roman"/>
          <w:sz w:val="28"/>
          <w:szCs w:val="28"/>
        </w:rPr>
        <w:t>Sidalm</w:t>
      </w:r>
      <w:proofErr w:type="spellEnd"/>
      <w:r>
        <w:rPr>
          <w:rFonts w:ascii="Times New Roman" w:hAnsi="Times New Roman"/>
          <w:sz w:val="28"/>
          <w:szCs w:val="28"/>
        </w:rPr>
        <w:t xml:space="preserve"> del luglio 1983, </w:t>
      </w:r>
      <w:proofErr w:type="gramStart"/>
      <w:r>
        <w:rPr>
          <w:rFonts w:ascii="Times New Roman" w:hAnsi="Times New Roman"/>
          <w:sz w:val="28"/>
          <w:szCs w:val="28"/>
        </w:rPr>
        <w:t>venne</w:t>
      </w:r>
      <w:proofErr w:type="gramEnd"/>
      <w:r>
        <w:rPr>
          <w:rFonts w:ascii="Times New Roman" w:hAnsi="Times New Roman"/>
          <w:sz w:val="28"/>
          <w:szCs w:val="28"/>
        </w:rPr>
        <w:t xml:space="preserve"> presa la decisione di modificare ulteriormente gli assetti societari con la sottoscrizione diretta dell’IRI di una quota di capitale </w:t>
      </w:r>
      <w:proofErr w:type="spellStart"/>
      <w:r>
        <w:rPr>
          <w:rFonts w:ascii="Times New Roman" w:hAnsi="Times New Roman"/>
          <w:sz w:val="28"/>
          <w:szCs w:val="28"/>
        </w:rPr>
        <w:t>Sidalm</w:t>
      </w:r>
      <w:proofErr w:type="spellEnd"/>
      <w:r>
        <w:rPr>
          <w:rFonts w:ascii="Times New Roman" w:hAnsi="Times New Roman"/>
          <w:sz w:val="28"/>
          <w:szCs w:val="28"/>
        </w:rPr>
        <w:t xml:space="preserve"> per ricostituire il capitale stesso, che era stato ridotto per coprire le perdite del 1982, a 75 miliardi di lire, affidando poi la società alla SME. Dalla prima metà degli anni Ottanta, quindi, iniziò un nuovo capitolo per il gruppo </w:t>
      </w:r>
      <w:proofErr w:type="spellStart"/>
      <w:r>
        <w:rPr>
          <w:rFonts w:ascii="Times New Roman" w:hAnsi="Times New Roman"/>
          <w:sz w:val="28"/>
          <w:szCs w:val="28"/>
        </w:rPr>
        <w:t>Motta-Alemagna</w:t>
      </w:r>
      <w:proofErr w:type="spellEnd"/>
      <w:r>
        <w:rPr>
          <w:rFonts w:ascii="Times New Roman" w:hAnsi="Times New Roman"/>
          <w:sz w:val="28"/>
          <w:szCs w:val="28"/>
        </w:rPr>
        <w:t xml:space="preserve">, sempre all’interno delle partecipazioni statali. Questo nuovo mandato, secondo i soci, avrebbe comportato un risanamento più rapido dei costi aziendali, inserendosi anche nel progetto di creazione della SME come holding alimentare dell’IRI. Nella relazione che chiudeva il bilancio del 1984 della </w:t>
      </w:r>
      <w:proofErr w:type="spellStart"/>
      <w:r>
        <w:rPr>
          <w:rFonts w:ascii="Times New Roman" w:hAnsi="Times New Roman"/>
          <w:sz w:val="28"/>
          <w:szCs w:val="28"/>
        </w:rPr>
        <w:t>Sidalm</w:t>
      </w:r>
      <w:proofErr w:type="spellEnd"/>
      <w:r>
        <w:rPr>
          <w:rFonts w:ascii="Times New Roman" w:hAnsi="Times New Roman"/>
          <w:sz w:val="28"/>
          <w:szCs w:val="28"/>
        </w:rPr>
        <w:t xml:space="preserve">, un passivo di </w:t>
      </w:r>
      <w:proofErr w:type="gramStart"/>
      <w:r>
        <w:rPr>
          <w:rFonts w:ascii="Times New Roman" w:hAnsi="Times New Roman"/>
          <w:sz w:val="28"/>
          <w:szCs w:val="28"/>
        </w:rPr>
        <w:t>47</w:t>
      </w:r>
      <w:proofErr w:type="gramEnd"/>
      <w:r>
        <w:rPr>
          <w:rFonts w:ascii="Times New Roman" w:hAnsi="Times New Roman"/>
          <w:sz w:val="28"/>
          <w:szCs w:val="28"/>
        </w:rPr>
        <w:t>, 4 miliardi di lire, il management SME espresse il proprio giudizio sulle cause che avevano determinato quel risultato.</w:t>
      </w:r>
    </w:p>
    <w:p w:rsidR="000B2C48" w:rsidRDefault="000B2C48" w:rsidP="000B2C48">
      <w:pPr>
        <w:spacing w:after="0" w:line="240" w:lineRule="auto"/>
        <w:jc w:val="both"/>
        <w:rPr>
          <w:rFonts w:ascii="Times New Roman" w:hAnsi="Times New Roman"/>
          <w:sz w:val="24"/>
          <w:szCs w:val="24"/>
        </w:rPr>
      </w:pPr>
      <w:r>
        <w:rPr>
          <w:rFonts w:ascii="Times New Roman" w:hAnsi="Times New Roman"/>
          <w:sz w:val="24"/>
          <w:szCs w:val="24"/>
        </w:rPr>
        <w:t>Più in particolare gli elementi che hanno portato a tale risultato sono da ricercare nell’acuirsi, nel corso del 1984, di alcune inefficienze strutturali della Società:</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Appannamento e sovrapposizione dell’immagine dei marchi Motta e Alemagna;</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Declino delle quote di mercato;</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Mancanza </w:t>
      </w:r>
      <w:proofErr w:type="gramStart"/>
      <w:r>
        <w:rPr>
          <w:rFonts w:ascii="Times New Roman" w:hAnsi="Times New Roman"/>
          <w:sz w:val="24"/>
          <w:szCs w:val="24"/>
        </w:rPr>
        <w:t xml:space="preserve">di </w:t>
      </w:r>
      <w:proofErr w:type="gramEnd"/>
      <w:r>
        <w:rPr>
          <w:rFonts w:ascii="Times New Roman" w:hAnsi="Times New Roman"/>
          <w:sz w:val="24"/>
          <w:szCs w:val="24"/>
        </w:rPr>
        <w:t>innovazione e sviluppo di nuovi prodotti;</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Costi fissi di produzione e delle funzioni “centrali” molto elevati;</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proofErr w:type="gramStart"/>
      <w:r>
        <w:rPr>
          <w:rFonts w:ascii="Times New Roman" w:hAnsi="Times New Roman"/>
          <w:sz w:val="24"/>
          <w:szCs w:val="24"/>
        </w:rPr>
        <w:t>Costi di vendita e di distribuzione superiori alla media</w:t>
      </w:r>
      <w:proofErr w:type="gramEnd"/>
      <w:r>
        <w:rPr>
          <w:rFonts w:ascii="Times New Roman" w:hAnsi="Times New Roman"/>
          <w:sz w:val="24"/>
          <w:szCs w:val="24"/>
        </w:rPr>
        <w:t xml:space="preserve"> di settore;</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Struttura produttiva rigida ed eccedente i fabbisogni;</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Debolezza del management con particolare riferimento al marketing </w:t>
      </w:r>
      <w:proofErr w:type="gramStart"/>
      <w:r>
        <w:rPr>
          <w:rFonts w:ascii="Times New Roman" w:hAnsi="Times New Roman"/>
          <w:sz w:val="24"/>
          <w:szCs w:val="24"/>
        </w:rPr>
        <w:t>ed</w:t>
      </w:r>
      <w:proofErr w:type="gramEnd"/>
      <w:r>
        <w:rPr>
          <w:rFonts w:ascii="Times New Roman" w:hAnsi="Times New Roman"/>
          <w:sz w:val="24"/>
          <w:szCs w:val="24"/>
        </w:rPr>
        <w:t xml:space="preserve"> alla </w:t>
      </w:r>
      <w:proofErr w:type="spellStart"/>
      <w:r>
        <w:rPr>
          <w:rFonts w:ascii="Times New Roman" w:hAnsi="Times New Roman"/>
          <w:sz w:val="24"/>
          <w:szCs w:val="24"/>
        </w:rPr>
        <w:t>R&amp;D</w:t>
      </w:r>
      <w:proofErr w:type="spellEnd"/>
      <w:r>
        <w:rPr>
          <w:rFonts w:ascii="Times New Roman" w:hAnsi="Times New Roman"/>
          <w:sz w:val="24"/>
          <w:szCs w:val="24"/>
        </w:rPr>
        <w:t>;</w:t>
      </w:r>
    </w:p>
    <w:p w:rsidR="000B2C48" w:rsidRPr="00DF6476"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Debolezza finanziaria aggravata dalla pesante esposizione debitoria in dollari;</w:t>
      </w:r>
    </w:p>
    <w:p w:rsidR="000B2C48" w:rsidRDefault="000B2C48" w:rsidP="000B2C48">
      <w:pPr>
        <w:spacing w:after="0" w:line="240" w:lineRule="auto"/>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Peraltro, proprio nel corso del 1984 i principali concorrenti sia nel settore dei monodose da forno sia nel settore zuccheri hanno ulteriormente rafforzato la loro posizione sul mercato con significativi investimenti di marketing.</w:t>
      </w:r>
      <w:r>
        <w:rPr>
          <w:rStyle w:val="Rimandonotaapidipagina"/>
          <w:rFonts w:ascii="Times New Roman" w:hAnsi="Times New Roman"/>
          <w:sz w:val="24"/>
          <w:szCs w:val="24"/>
        </w:rPr>
        <w:footnoteReference w:id="25"/>
      </w:r>
    </w:p>
    <w:p w:rsidR="000B2C48" w:rsidRDefault="000B2C48" w:rsidP="000B2C48">
      <w:pPr>
        <w:spacing w:after="0" w:line="240" w:lineRule="auto"/>
        <w:jc w:val="both"/>
        <w:rPr>
          <w:rFonts w:ascii="Times New Roman" w:hAnsi="Times New Roman"/>
          <w:sz w:val="24"/>
          <w:szCs w:val="24"/>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Sempre nella stessa relazione </w:t>
      </w:r>
      <w:proofErr w:type="gramStart"/>
      <w:r>
        <w:rPr>
          <w:rFonts w:ascii="Times New Roman" w:hAnsi="Times New Roman"/>
          <w:sz w:val="28"/>
          <w:szCs w:val="28"/>
        </w:rPr>
        <w:t>assembleare</w:t>
      </w:r>
      <w:proofErr w:type="gramEnd"/>
      <w:r>
        <w:rPr>
          <w:rFonts w:ascii="Times New Roman" w:hAnsi="Times New Roman"/>
          <w:sz w:val="28"/>
          <w:szCs w:val="28"/>
        </w:rPr>
        <w:t xml:space="preserve"> vengono poi indicate le linee guida per il risanamento della Società, nella struttura organizzativa, creando divisioni societarie nel’ottica di “</w:t>
      </w:r>
      <w:proofErr w:type="spellStart"/>
      <w:r>
        <w:rPr>
          <w:rFonts w:ascii="Times New Roman" w:hAnsi="Times New Roman"/>
          <w:sz w:val="28"/>
          <w:szCs w:val="28"/>
        </w:rPr>
        <w:t>mercato-canale-consumatore</w:t>
      </w:r>
      <w:proofErr w:type="spellEnd"/>
      <w:r>
        <w:rPr>
          <w:rFonts w:ascii="Times New Roman" w:hAnsi="Times New Roman"/>
          <w:sz w:val="28"/>
          <w:szCs w:val="28"/>
        </w:rPr>
        <w:t>”, inserendo un quadro dirigente più competente, in particolare nel settore commerciale, il miglioramento qualitativo dei prodotti esistenti e il lancio di nuovi prodotti, tra cui il “White Fantasy”.</w:t>
      </w:r>
    </w:p>
    <w:p w:rsidR="000B2C48" w:rsidRDefault="000B2C48" w:rsidP="000B2C48">
      <w:pPr>
        <w:spacing w:after="0" w:line="240" w:lineRule="auto"/>
        <w:jc w:val="both"/>
        <w:rPr>
          <w:rFonts w:ascii="Times New Roman" w:hAnsi="Times New Roman"/>
          <w:sz w:val="24"/>
          <w:szCs w:val="24"/>
        </w:rPr>
      </w:pPr>
      <w:proofErr w:type="gramStart"/>
      <w:r>
        <w:rPr>
          <w:rFonts w:ascii="Times New Roman" w:hAnsi="Times New Roman"/>
          <w:sz w:val="24"/>
          <w:szCs w:val="24"/>
        </w:rPr>
        <w:t>Tale piano di ristrutturazione, presentato alle Organizzazioni Sindacali il 12 marzo scorso, mira a fornire una risposta di più largo respir</w:t>
      </w:r>
      <w:proofErr w:type="gramEnd"/>
      <w:r>
        <w:rPr>
          <w:rFonts w:ascii="Times New Roman" w:hAnsi="Times New Roman"/>
          <w:sz w:val="24"/>
          <w:szCs w:val="24"/>
        </w:rPr>
        <w:t xml:space="preserve">o ai problemi strutturali della Società e a porre le premesse per un totale rilancio della </w:t>
      </w:r>
      <w:proofErr w:type="spellStart"/>
      <w:r>
        <w:rPr>
          <w:rFonts w:ascii="Times New Roman" w:hAnsi="Times New Roman"/>
          <w:sz w:val="24"/>
          <w:szCs w:val="24"/>
        </w:rPr>
        <w:t>Sidalm</w:t>
      </w:r>
      <w:proofErr w:type="spell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Il piano prevede l’ottimizzazione dell’allocazione produttiva attraverso l’ampliamento ed il potenziamento dello stabilimento di S. Martino B.A. (VR), l’ampliamento, la razionalizzazione ed il potenziamento dello stabilimento di </w:t>
      </w:r>
      <w:proofErr w:type="spellStart"/>
      <w:r>
        <w:rPr>
          <w:rFonts w:ascii="Times New Roman" w:hAnsi="Times New Roman"/>
          <w:sz w:val="24"/>
          <w:szCs w:val="24"/>
        </w:rPr>
        <w:t>Cornaredo</w:t>
      </w:r>
      <w:proofErr w:type="spellEnd"/>
      <w:r>
        <w:rPr>
          <w:rFonts w:ascii="Times New Roman" w:hAnsi="Times New Roman"/>
          <w:sz w:val="24"/>
          <w:szCs w:val="24"/>
        </w:rPr>
        <w:t xml:space="preserve"> (</w:t>
      </w:r>
      <w:proofErr w:type="spellStart"/>
      <w:r>
        <w:rPr>
          <w:rFonts w:ascii="Times New Roman" w:hAnsi="Times New Roman"/>
          <w:sz w:val="24"/>
          <w:szCs w:val="24"/>
        </w:rPr>
        <w:t>MI</w:t>
      </w:r>
      <w:proofErr w:type="spellEnd"/>
      <w:r>
        <w:rPr>
          <w:rFonts w:ascii="Times New Roman" w:hAnsi="Times New Roman"/>
          <w:sz w:val="24"/>
          <w:szCs w:val="24"/>
        </w:rPr>
        <w:t xml:space="preserve">), l’adeguamento degli impianti del reparto </w:t>
      </w:r>
      <w:proofErr w:type="spellStart"/>
      <w:r>
        <w:rPr>
          <w:rFonts w:ascii="Times New Roman" w:hAnsi="Times New Roman"/>
          <w:sz w:val="24"/>
          <w:szCs w:val="24"/>
        </w:rPr>
        <w:t>crostatine</w:t>
      </w:r>
      <w:proofErr w:type="spellEnd"/>
      <w:r>
        <w:rPr>
          <w:rFonts w:ascii="Times New Roman" w:hAnsi="Times New Roman"/>
          <w:sz w:val="24"/>
          <w:szCs w:val="24"/>
        </w:rPr>
        <w:t xml:space="preserve"> nello stabilimento di </w:t>
      </w:r>
      <w:proofErr w:type="spellStart"/>
      <w:r>
        <w:rPr>
          <w:rFonts w:ascii="Times New Roman" w:hAnsi="Times New Roman"/>
          <w:sz w:val="24"/>
          <w:szCs w:val="24"/>
        </w:rPr>
        <w:t>Caivano</w:t>
      </w:r>
      <w:proofErr w:type="spellEnd"/>
      <w:r>
        <w:rPr>
          <w:rFonts w:ascii="Times New Roman" w:hAnsi="Times New Roman"/>
          <w:sz w:val="24"/>
          <w:szCs w:val="24"/>
        </w:rPr>
        <w:t xml:space="preserve"> (NA), la chiusura dello stabilimento di Viale Corsica e Milano, la riorganizzazione degli enti centrali, la razionalizzazione delle strutture delle aree di vendita.</w:t>
      </w:r>
      <w:r>
        <w:rPr>
          <w:rStyle w:val="Rimandonotaapidipagina"/>
          <w:rFonts w:ascii="Times New Roman" w:hAnsi="Times New Roman"/>
          <w:sz w:val="24"/>
          <w:szCs w:val="24"/>
        </w:rPr>
        <w:footnoteReference w:id="26"/>
      </w:r>
    </w:p>
    <w:p w:rsidR="000B2C48" w:rsidRDefault="000B2C48" w:rsidP="000B2C48">
      <w:pPr>
        <w:spacing w:after="0" w:line="240" w:lineRule="auto"/>
        <w:jc w:val="both"/>
        <w:rPr>
          <w:rFonts w:ascii="Times New Roman" w:hAnsi="Times New Roman"/>
          <w:sz w:val="24"/>
          <w:szCs w:val="24"/>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La gestione del management SME fu altrettanto fallimentare. Il 1984, il primo anno che avrebbe dovuto beneficiare degli interventi elencati sopra, chiuse come si è visto con </w:t>
      </w:r>
      <w:proofErr w:type="gramStart"/>
      <w:r>
        <w:rPr>
          <w:rFonts w:ascii="Times New Roman" w:hAnsi="Times New Roman"/>
          <w:sz w:val="28"/>
          <w:szCs w:val="28"/>
        </w:rPr>
        <w:t>perdite record</w:t>
      </w:r>
      <w:proofErr w:type="gramEnd"/>
      <w:r>
        <w:rPr>
          <w:rFonts w:ascii="Times New Roman" w:hAnsi="Times New Roman"/>
          <w:sz w:val="28"/>
          <w:szCs w:val="28"/>
        </w:rPr>
        <w:t xml:space="preserve">. Nonostante un aumento considerevole delle spese di marketing (quasi </w:t>
      </w:r>
      <w:proofErr w:type="gramStart"/>
      <w:r>
        <w:rPr>
          <w:rFonts w:ascii="Times New Roman" w:hAnsi="Times New Roman"/>
          <w:sz w:val="28"/>
          <w:szCs w:val="28"/>
        </w:rPr>
        <w:t>20</w:t>
      </w:r>
      <w:proofErr w:type="gramEnd"/>
      <w:r>
        <w:rPr>
          <w:rFonts w:ascii="Times New Roman" w:hAnsi="Times New Roman"/>
          <w:sz w:val="28"/>
          <w:szCs w:val="28"/>
        </w:rPr>
        <w:t xml:space="preserve"> miliardi di lire in più) e una nuova esplosione dei consumi del 1984, la </w:t>
      </w:r>
      <w:proofErr w:type="spellStart"/>
      <w:r>
        <w:rPr>
          <w:rFonts w:ascii="Times New Roman" w:hAnsi="Times New Roman"/>
          <w:sz w:val="28"/>
          <w:szCs w:val="28"/>
        </w:rPr>
        <w:t>Sidalm</w:t>
      </w:r>
      <w:proofErr w:type="spellEnd"/>
      <w:r>
        <w:rPr>
          <w:rFonts w:ascii="Times New Roman" w:hAnsi="Times New Roman"/>
          <w:sz w:val="28"/>
          <w:szCs w:val="28"/>
        </w:rPr>
        <w:t xml:space="preserve"> ricevette nuovi duri colpi che fecero indietreggiare ancora le quote di mercato.</w:t>
      </w: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Nel 1986, la </w:t>
      </w:r>
      <w:proofErr w:type="spellStart"/>
      <w:r>
        <w:rPr>
          <w:rFonts w:ascii="Times New Roman" w:hAnsi="Times New Roman"/>
          <w:sz w:val="28"/>
          <w:szCs w:val="28"/>
        </w:rPr>
        <w:t>Sidalm</w:t>
      </w:r>
      <w:proofErr w:type="spellEnd"/>
      <w:r>
        <w:rPr>
          <w:rFonts w:ascii="Times New Roman" w:hAnsi="Times New Roman"/>
          <w:sz w:val="28"/>
          <w:szCs w:val="28"/>
        </w:rPr>
        <w:t xml:space="preserve"> </w:t>
      </w:r>
      <w:proofErr w:type="gramStart"/>
      <w:r>
        <w:rPr>
          <w:rFonts w:ascii="Times New Roman" w:hAnsi="Times New Roman"/>
          <w:sz w:val="28"/>
          <w:szCs w:val="28"/>
        </w:rPr>
        <w:t>venne</w:t>
      </w:r>
      <w:proofErr w:type="gramEnd"/>
      <w:r>
        <w:rPr>
          <w:rFonts w:ascii="Times New Roman" w:hAnsi="Times New Roman"/>
          <w:sz w:val="28"/>
          <w:szCs w:val="28"/>
        </w:rPr>
        <w:t xml:space="preserve"> incorporata nell’</w:t>
      </w:r>
      <w:proofErr w:type="spellStart"/>
      <w:r>
        <w:rPr>
          <w:rFonts w:ascii="Times New Roman" w:hAnsi="Times New Roman"/>
          <w:sz w:val="28"/>
          <w:szCs w:val="28"/>
        </w:rPr>
        <w:t>Alivar</w:t>
      </w:r>
      <w:proofErr w:type="spellEnd"/>
      <w:r>
        <w:rPr>
          <w:rStyle w:val="Rimandonotaapidipagina"/>
          <w:rFonts w:ascii="Times New Roman" w:hAnsi="Times New Roman"/>
          <w:sz w:val="28"/>
          <w:szCs w:val="28"/>
        </w:rPr>
        <w:footnoteReference w:id="27"/>
      </w:r>
      <w:r>
        <w:rPr>
          <w:rFonts w:ascii="Times New Roman" w:hAnsi="Times New Roman"/>
          <w:sz w:val="28"/>
          <w:szCs w:val="28"/>
        </w:rPr>
        <w:t>, in un disegno che avrebbe ristrutturato tutte le attività alimentari del Gruppo SME.</w:t>
      </w:r>
    </w:p>
    <w:p w:rsidR="000B2C48" w:rsidRDefault="000B2C48" w:rsidP="000B2C48">
      <w:pPr>
        <w:spacing w:after="0" w:line="240" w:lineRule="auto"/>
        <w:jc w:val="both"/>
        <w:rPr>
          <w:rFonts w:ascii="Times New Roman" w:hAnsi="Times New Roman"/>
          <w:sz w:val="24"/>
          <w:szCs w:val="24"/>
        </w:rPr>
      </w:pPr>
      <w:r>
        <w:rPr>
          <w:rFonts w:ascii="Times New Roman" w:hAnsi="Times New Roman"/>
          <w:sz w:val="24"/>
          <w:szCs w:val="24"/>
        </w:rPr>
        <w:t xml:space="preserve">Nel 1986, coerentemente agli indirizzi esposti nella relazione al bilancio del precedente esercizio, sono state portate a compimento le operazioni di riassetto delle partecipazioni del Gruppo, finalizzate all’ottenimento di strutture societarie </w:t>
      </w:r>
      <w:proofErr w:type="gramStart"/>
      <w:r>
        <w:rPr>
          <w:rFonts w:ascii="Times New Roman" w:hAnsi="Times New Roman"/>
          <w:sz w:val="24"/>
          <w:szCs w:val="24"/>
        </w:rPr>
        <w:t>ed</w:t>
      </w:r>
      <w:proofErr w:type="gramEnd"/>
      <w:r>
        <w:rPr>
          <w:rFonts w:ascii="Times New Roman" w:hAnsi="Times New Roman"/>
          <w:sz w:val="24"/>
          <w:szCs w:val="24"/>
        </w:rPr>
        <w:t xml:space="preserve"> operative incentrate su settori ed aree di attività omogenee; è stato, altresì, varato un nuovo schema organizzativo che, in relazione ai nuovi assetti, appare meglio in grado, sotto il profilo funzionale e strategico, di conseguire miglioramenti di efficienza e di cogliere le sinergie comuni ai diversi settori di presenza.</w:t>
      </w:r>
      <w:proofErr w:type="gramStart"/>
      <w:r>
        <w:rPr>
          <w:rFonts w:ascii="Times New Roman" w:hAnsi="Times New Roman"/>
          <w:sz w:val="24"/>
          <w:szCs w:val="24"/>
        </w:rPr>
        <w:t>[…</w:t>
      </w:r>
      <w:proofErr w:type="gramEnd"/>
      <w:r>
        <w:rPr>
          <w:rFonts w:ascii="Times New Roman" w:hAnsi="Times New Roman"/>
          <w:sz w:val="24"/>
          <w:szCs w:val="24"/>
        </w:rPr>
        <w:t>]</w:t>
      </w:r>
    </w:p>
    <w:p w:rsidR="000B2C48" w:rsidRDefault="000B2C48" w:rsidP="000B2C4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Le operazioni più </w:t>
      </w:r>
      <w:proofErr w:type="gramStart"/>
      <w:r>
        <w:rPr>
          <w:rFonts w:ascii="Times New Roman" w:hAnsi="Times New Roman"/>
          <w:sz w:val="24"/>
          <w:szCs w:val="24"/>
        </w:rPr>
        <w:t>significative</w:t>
      </w:r>
      <w:proofErr w:type="gramEnd"/>
      <w:r>
        <w:rPr>
          <w:rFonts w:ascii="Times New Roman" w:hAnsi="Times New Roman"/>
          <w:sz w:val="24"/>
          <w:szCs w:val="24"/>
        </w:rPr>
        <w:t xml:space="preserve"> a riguardo sono state le seguenti:</w:t>
      </w:r>
    </w:p>
    <w:p w:rsidR="000B2C48" w:rsidRDefault="000B2C48" w:rsidP="000B2C48">
      <w:pPr>
        <w:pStyle w:val="Paragrafoelenco"/>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L’ALIVAR, in data 18 settembre 1986, ha acquistato dall’IRI e dalla </w:t>
      </w:r>
      <w:proofErr w:type="spellStart"/>
      <w:r>
        <w:rPr>
          <w:rFonts w:ascii="Times New Roman" w:hAnsi="Times New Roman"/>
          <w:sz w:val="24"/>
          <w:szCs w:val="24"/>
        </w:rPr>
        <w:t>Sofin</w:t>
      </w:r>
      <w:proofErr w:type="spellEnd"/>
      <w:r>
        <w:rPr>
          <w:rFonts w:ascii="Times New Roman" w:hAnsi="Times New Roman"/>
          <w:sz w:val="24"/>
          <w:szCs w:val="24"/>
        </w:rPr>
        <w:t xml:space="preserve"> l’intero pacchetto azionario della </w:t>
      </w:r>
      <w:proofErr w:type="spellStart"/>
      <w:r>
        <w:rPr>
          <w:rFonts w:ascii="Times New Roman" w:hAnsi="Times New Roman"/>
          <w:sz w:val="24"/>
          <w:szCs w:val="24"/>
        </w:rPr>
        <w:t>Sidalm</w:t>
      </w:r>
      <w:proofErr w:type="spellEnd"/>
      <w:r>
        <w:rPr>
          <w:rFonts w:ascii="Times New Roman" w:hAnsi="Times New Roman"/>
          <w:sz w:val="24"/>
          <w:szCs w:val="24"/>
        </w:rPr>
        <w:t xml:space="preserve"> per un prezzo complessivo di 36.349 milioni di lire; </w:t>
      </w:r>
      <w:proofErr w:type="gramStart"/>
      <w:r>
        <w:rPr>
          <w:rFonts w:ascii="Times New Roman" w:hAnsi="Times New Roman"/>
          <w:sz w:val="24"/>
          <w:szCs w:val="24"/>
        </w:rPr>
        <w:t>successivamente</w:t>
      </w:r>
      <w:proofErr w:type="gramEnd"/>
      <w:r>
        <w:rPr>
          <w:rFonts w:ascii="Times New Roman" w:hAnsi="Times New Roman"/>
          <w:sz w:val="24"/>
          <w:szCs w:val="24"/>
        </w:rPr>
        <w:t xml:space="preserve"> l’assemblea dell’</w:t>
      </w:r>
      <w:proofErr w:type="spellStart"/>
      <w:r>
        <w:rPr>
          <w:rFonts w:ascii="Times New Roman" w:hAnsi="Times New Roman"/>
          <w:sz w:val="24"/>
          <w:szCs w:val="24"/>
        </w:rPr>
        <w:t>Alivar</w:t>
      </w:r>
      <w:proofErr w:type="spellEnd"/>
      <w:r>
        <w:rPr>
          <w:rFonts w:ascii="Times New Roman" w:hAnsi="Times New Roman"/>
          <w:sz w:val="24"/>
          <w:szCs w:val="24"/>
        </w:rPr>
        <w:t xml:space="preserve"> del 25 settembre ha deliberato la fusione, mediante incorporazione della </w:t>
      </w:r>
      <w:proofErr w:type="spellStart"/>
      <w:r>
        <w:rPr>
          <w:rFonts w:ascii="Times New Roman" w:hAnsi="Times New Roman"/>
          <w:sz w:val="24"/>
          <w:szCs w:val="24"/>
        </w:rPr>
        <w:t>Sidalm</w:t>
      </w:r>
      <w:proofErr w:type="spellEnd"/>
      <w:r>
        <w:rPr>
          <w:rFonts w:ascii="Times New Roman" w:hAnsi="Times New Roman"/>
          <w:sz w:val="24"/>
          <w:szCs w:val="24"/>
        </w:rPr>
        <w:t xml:space="preserve"> sulla base delle rispettive situazioni patrimoniali al 30 giugno 1986; nella stessa data l’assemblea </w:t>
      </w:r>
      <w:proofErr w:type="spellStart"/>
      <w:r>
        <w:rPr>
          <w:rFonts w:ascii="Times New Roman" w:hAnsi="Times New Roman"/>
          <w:sz w:val="24"/>
          <w:szCs w:val="24"/>
        </w:rPr>
        <w:t>Sidalm</w:t>
      </w:r>
      <w:proofErr w:type="spellEnd"/>
      <w:r>
        <w:rPr>
          <w:rFonts w:ascii="Times New Roman" w:hAnsi="Times New Roman"/>
          <w:sz w:val="24"/>
          <w:szCs w:val="24"/>
        </w:rPr>
        <w:t xml:space="preserve"> provvedeva ad assumere analoga deliberazione; infine, in data 3 novembre 1986 la </w:t>
      </w:r>
      <w:proofErr w:type="spellStart"/>
      <w:r>
        <w:rPr>
          <w:rFonts w:ascii="Times New Roman" w:hAnsi="Times New Roman"/>
          <w:sz w:val="24"/>
          <w:szCs w:val="24"/>
        </w:rPr>
        <w:t>Sidalm</w:t>
      </w:r>
      <w:proofErr w:type="spellEnd"/>
      <w:r>
        <w:rPr>
          <w:rFonts w:ascii="Times New Roman" w:hAnsi="Times New Roman"/>
          <w:sz w:val="24"/>
          <w:szCs w:val="24"/>
        </w:rPr>
        <w:t xml:space="preserve"> veniva incorporata nell’</w:t>
      </w:r>
      <w:proofErr w:type="spellStart"/>
      <w:r>
        <w:rPr>
          <w:rFonts w:ascii="Times New Roman" w:hAnsi="Times New Roman"/>
          <w:sz w:val="24"/>
          <w:szCs w:val="24"/>
        </w:rPr>
        <w:t>Alivar</w:t>
      </w:r>
      <w:proofErr w:type="spellEnd"/>
      <w:r>
        <w:rPr>
          <w:rFonts w:ascii="Times New Roman" w:hAnsi="Times New Roman"/>
          <w:sz w:val="24"/>
          <w:szCs w:val="24"/>
        </w:rPr>
        <w:t>, in esecuzione delle citate delibere assembleari;</w:t>
      </w:r>
    </w:p>
    <w:p w:rsidR="000B2C48" w:rsidRPr="00D717B9" w:rsidRDefault="000B2C48" w:rsidP="000B2C48">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la SIREA (controllata al 100% dall’Autogrill) in data 14 maggio 1986 ha acquisito dalla </w:t>
      </w:r>
      <w:proofErr w:type="spellStart"/>
      <w:r>
        <w:rPr>
          <w:rFonts w:ascii="Times New Roman" w:hAnsi="Times New Roman"/>
          <w:sz w:val="24"/>
          <w:szCs w:val="24"/>
        </w:rPr>
        <w:t>Sidalm</w:t>
      </w:r>
      <w:proofErr w:type="spellEnd"/>
      <w:r>
        <w:rPr>
          <w:rFonts w:ascii="Times New Roman" w:hAnsi="Times New Roman"/>
          <w:sz w:val="24"/>
          <w:szCs w:val="24"/>
        </w:rPr>
        <w:t xml:space="preserve"> l’intero pacchetto della società Esco, costituito da n. 160.000 azioni del valore nominale unitario di lire 10.000. La cessione è stata </w:t>
      </w:r>
      <w:proofErr w:type="gramStart"/>
      <w:r>
        <w:rPr>
          <w:rFonts w:ascii="Times New Roman" w:hAnsi="Times New Roman"/>
          <w:sz w:val="24"/>
          <w:szCs w:val="24"/>
        </w:rPr>
        <w:t>effettuata</w:t>
      </w:r>
      <w:proofErr w:type="gramEnd"/>
      <w:r>
        <w:rPr>
          <w:rFonts w:ascii="Times New Roman" w:hAnsi="Times New Roman"/>
          <w:sz w:val="24"/>
          <w:szCs w:val="24"/>
        </w:rPr>
        <w:t xml:space="preserve"> al prezzo di lire 5.500 milioni ed ha comportato per la </w:t>
      </w:r>
      <w:proofErr w:type="spellStart"/>
      <w:r>
        <w:rPr>
          <w:rFonts w:ascii="Times New Roman" w:hAnsi="Times New Roman"/>
          <w:sz w:val="24"/>
          <w:szCs w:val="24"/>
        </w:rPr>
        <w:t>Sidalm</w:t>
      </w:r>
      <w:proofErr w:type="spellEnd"/>
      <w:r>
        <w:rPr>
          <w:rFonts w:ascii="Times New Roman" w:hAnsi="Times New Roman"/>
          <w:sz w:val="24"/>
          <w:szCs w:val="24"/>
        </w:rPr>
        <w:t xml:space="preserve">, tenuto conto del valore di carico di lire 1.430 milioni, una plusvalenza di lire 4.070 milioni. </w:t>
      </w:r>
      <w:proofErr w:type="gramStart"/>
      <w:r>
        <w:rPr>
          <w:rFonts w:ascii="Times New Roman" w:hAnsi="Times New Roman"/>
          <w:sz w:val="24"/>
          <w:szCs w:val="24"/>
        </w:rPr>
        <w:t xml:space="preserve">La </w:t>
      </w:r>
      <w:proofErr w:type="gramEnd"/>
      <w:r>
        <w:rPr>
          <w:rFonts w:ascii="Times New Roman" w:hAnsi="Times New Roman"/>
          <w:sz w:val="24"/>
          <w:szCs w:val="24"/>
        </w:rPr>
        <w:t>Esco, che gestisce i punti di vendita ad insegne Motta od Alemagna, potrà così usufruire dei benefici derivanti da una più stretta integrazione con le attività di ristorazione del Gruppo SME.</w:t>
      </w:r>
      <w:r>
        <w:rPr>
          <w:rStyle w:val="Rimandonotaapidipagina"/>
          <w:rFonts w:ascii="Times New Roman" w:hAnsi="Times New Roman"/>
          <w:sz w:val="24"/>
          <w:szCs w:val="24"/>
        </w:rPr>
        <w:footnoteReference w:id="28"/>
      </w:r>
    </w:p>
    <w:p w:rsidR="000B2C48" w:rsidRDefault="000B2C48" w:rsidP="000B2C48">
      <w:pPr>
        <w:spacing w:after="0" w:line="360" w:lineRule="auto"/>
        <w:jc w:val="both"/>
        <w:rPr>
          <w:rFonts w:ascii="Times New Roman" w:hAnsi="Times New Roman"/>
          <w:sz w:val="28"/>
          <w:szCs w:val="28"/>
        </w:rPr>
      </w:pPr>
    </w:p>
    <w:p w:rsidR="000B2C48" w:rsidRDefault="000B2C48" w:rsidP="000B2C48">
      <w:pPr>
        <w:spacing w:after="0" w:line="360" w:lineRule="auto"/>
        <w:jc w:val="center"/>
        <w:rPr>
          <w:rFonts w:ascii="Times New Roman" w:hAnsi="Times New Roman"/>
          <w:sz w:val="28"/>
          <w:szCs w:val="28"/>
        </w:rPr>
      </w:pPr>
      <w:r>
        <w:rPr>
          <w:rFonts w:ascii="Times New Roman" w:hAnsi="Times New Roman"/>
          <w:sz w:val="28"/>
          <w:szCs w:val="28"/>
        </w:rPr>
        <w:t xml:space="preserve">ANDAMENTO DELLE QUOTE </w:t>
      </w:r>
      <w:proofErr w:type="spellStart"/>
      <w:r>
        <w:rPr>
          <w:rFonts w:ascii="Times New Roman" w:hAnsi="Times New Roman"/>
          <w:sz w:val="28"/>
          <w:szCs w:val="28"/>
        </w:rPr>
        <w:t>DI</w:t>
      </w:r>
      <w:proofErr w:type="spellEnd"/>
      <w:r>
        <w:rPr>
          <w:rFonts w:ascii="Times New Roman" w:hAnsi="Times New Roman"/>
          <w:sz w:val="28"/>
          <w:szCs w:val="28"/>
        </w:rPr>
        <w:t xml:space="preserve"> MERCATO DEI MARCHI MOTTA E ALEMAGNA DAL 1981 AL 1984</w:t>
      </w:r>
      <w:r>
        <w:rPr>
          <w:rStyle w:val="Rimandonotaapidipagina"/>
          <w:rFonts w:ascii="Times New Roman" w:hAnsi="Times New Roman"/>
          <w:sz w:val="28"/>
          <w:szCs w:val="28"/>
        </w:rPr>
        <w:footnoteReference w:id="2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506"/>
        <w:gridCol w:w="1729"/>
        <w:gridCol w:w="1729"/>
        <w:gridCol w:w="1729"/>
      </w:tblGrid>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p>
        </w:tc>
        <w:tc>
          <w:tcPr>
            <w:tcW w:w="1506" w:type="dxa"/>
          </w:tcPr>
          <w:p w:rsidR="000B2C48" w:rsidRPr="002B47B3" w:rsidRDefault="000B2C48" w:rsidP="00C65431">
            <w:pPr>
              <w:spacing w:after="0" w:line="360" w:lineRule="auto"/>
              <w:jc w:val="center"/>
              <w:rPr>
                <w:rFonts w:ascii="Times New Roman" w:hAnsi="Times New Roman"/>
                <w:sz w:val="20"/>
                <w:szCs w:val="20"/>
              </w:rPr>
            </w:pPr>
            <w:r w:rsidRPr="002B47B3">
              <w:rPr>
                <w:rFonts w:ascii="Times New Roman" w:hAnsi="Times New Roman"/>
                <w:sz w:val="20"/>
                <w:szCs w:val="20"/>
              </w:rPr>
              <w:t>1981</w:t>
            </w:r>
          </w:p>
        </w:tc>
        <w:tc>
          <w:tcPr>
            <w:tcW w:w="1729" w:type="dxa"/>
          </w:tcPr>
          <w:p w:rsidR="000B2C48" w:rsidRPr="002B47B3" w:rsidRDefault="000B2C48" w:rsidP="00C65431">
            <w:pPr>
              <w:spacing w:after="0" w:line="360" w:lineRule="auto"/>
              <w:jc w:val="center"/>
              <w:rPr>
                <w:rFonts w:ascii="Times New Roman" w:hAnsi="Times New Roman"/>
                <w:sz w:val="20"/>
                <w:szCs w:val="20"/>
              </w:rPr>
            </w:pPr>
            <w:r w:rsidRPr="002B47B3">
              <w:rPr>
                <w:rFonts w:ascii="Times New Roman" w:hAnsi="Times New Roman"/>
                <w:sz w:val="20"/>
                <w:szCs w:val="20"/>
              </w:rPr>
              <w:t>1982</w:t>
            </w:r>
          </w:p>
        </w:tc>
        <w:tc>
          <w:tcPr>
            <w:tcW w:w="1729" w:type="dxa"/>
          </w:tcPr>
          <w:p w:rsidR="000B2C48" w:rsidRPr="002B47B3" w:rsidRDefault="000B2C48" w:rsidP="00C65431">
            <w:pPr>
              <w:spacing w:after="0" w:line="360" w:lineRule="auto"/>
              <w:jc w:val="center"/>
              <w:rPr>
                <w:rFonts w:ascii="Times New Roman" w:hAnsi="Times New Roman"/>
                <w:sz w:val="20"/>
                <w:szCs w:val="20"/>
              </w:rPr>
            </w:pPr>
            <w:r w:rsidRPr="002B47B3">
              <w:rPr>
                <w:rFonts w:ascii="Times New Roman" w:hAnsi="Times New Roman"/>
                <w:sz w:val="20"/>
                <w:szCs w:val="20"/>
              </w:rPr>
              <w:t>1983</w:t>
            </w:r>
          </w:p>
        </w:tc>
        <w:tc>
          <w:tcPr>
            <w:tcW w:w="1729" w:type="dxa"/>
          </w:tcPr>
          <w:p w:rsidR="000B2C48" w:rsidRPr="002B47B3" w:rsidRDefault="000B2C48" w:rsidP="00C65431">
            <w:pPr>
              <w:spacing w:after="0" w:line="360" w:lineRule="auto"/>
              <w:jc w:val="center"/>
              <w:rPr>
                <w:rFonts w:ascii="Times New Roman" w:hAnsi="Times New Roman"/>
                <w:sz w:val="20"/>
                <w:szCs w:val="20"/>
              </w:rPr>
            </w:pPr>
            <w:r w:rsidRPr="002B47B3">
              <w:rPr>
                <w:rFonts w:ascii="Times New Roman" w:hAnsi="Times New Roman"/>
                <w:sz w:val="20"/>
                <w:szCs w:val="20"/>
              </w:rPr>
              <w:t>1984</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i/>
                <w:sz w:val="20"/>
                <w:szCs w:val="20"/>
              </w:rPr>
              <w:t>Panettone</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Motta</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Alemagna</w:t>
            </w:r>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14,0</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14,1</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13,1</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14,0</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11,9</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13,5</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12,3</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12,2</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i/>
                <w:sz w:val="20"/>
                <w:szCs w:val="20"/>
              </w:rPr>
            </w:pPr>
            <w:r w:rsidRPr="002B47B3">
              <w:rPr>
                <w:rFonts w:ascii="Times New Roman" w:hAnsi="Times New Roman"/>
                <w:i/>
                <w:sz w:val="20"/>
                <w:szCs w:val="20"/>
              </w:rPr>
              <w:t>Pandoro</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Motta</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Alemagna</w:t>
            </w:r>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5,8</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8,4</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7,7</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5,9</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5,7</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6,2</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6,2</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5,7</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i/>
                <w:sz w:val="20"/>
                <w:szCs w:val="20"/>
              </w:rPr>
            </w:pPr>
            <w:r w:rsidRPr="002B47B3">
              <w:rPr>
                <w:rFonts w:ascii="Times New Roman" w:hAnsi="Times New Roman"/>
                <w:i/>
                <w:sz w:val="20"/>
                <w:szCs w:val="20"/>
              </w:rPr>
              <w:t>Colomba</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Motta</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Alemagna</w:t>
            </w:r>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13,8</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15,7</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13,3</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15,5</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13,3</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15,3</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13,8</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16,5</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i/>
                <w:sz w:val="20"/>
                <w:szCs w:val="20"/>
              </w:rPr>
              <w:t>Monodose da forno</w:t>
            </w:r>
          </w:p>
          <w:p w:rsidR="000B2C48" w:rsidRPr="002B47B3" w:rsidRDefault="000B2C48" w:rsidP="00C65431">
            <w:pPr>
              <w:spacing w:after="0" w:line="360" w:lineRule="auto"/>
              <w:jc w:val="both"/>
              <w:rPr>
                <w:rFonts w:ascii="Times New Roman" w:hAnsi="Times New Roman"/>
                <w:sz w:val="20"/>
                <w:szCs w:val="20"/>
              </w:rPr>
            </w:pPr>
            <w:proofErr w:type="spellStart"/>
            <w:r w:rsidRPr="002B47B3">
              <w:rPr>
                <w:rFonts w:ascii="Times New Roman" w:hAnsi="Times New Roman"/>
                <w:sz w:val="20"/>
                <w:szCs w:val="20"/>
              </w:rPr>
              <w:t>Sidalm</w:t>
            </w:r>
            <w:proofErr w:type="spellEnd"/>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22,8</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19,2</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17,2</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i/>
                <w:sz w:val="20"/>
                <w:szCs w:val="20"/>
              </w:rPr>
              <w:t>Biscotti</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Motta</w:t>
            </w:r>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4,4</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3,4</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3,7</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2,4</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i/>
                <w:sz w:val="20"/>
                <w:szCs w:val="20"/>
              </w:rPr>
              <w:t>Cioccolatini</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Motta</w:t>
            </w:r>
          </w:p>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sz w:val="20"/>
                <w:szCs w:val="20"/>
              </w:rPr>
              <w:t>Alemagna</w:t>
            </w:r>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5,4</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7,7</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4,2</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6,5</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4,5</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5,5</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4,6</w:t>
            </w: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6,1</w:t>
            </w:r>
          </w:p>
        </w:tc>
      </w:tr>
      <w:tr w:rsidR="000B2C48" w:rsidRPr="002B47B3" w:rsidTr="00C65431">
        <w:tc>
          <w:tcPr>
            <w:tcW w:w="1951" w:type="dxa"/>
          </w:tcPr>
          <w:p w:rsidR="000B2C48" w:rsidRPr="002B47B3" w:rsidRDefault="000B2C48" w:rsidP="00C65431">
            <w:pPr>
              <w:spacing w:after="0" w:line="360" w:lineRule="auto"/>
              <w:jc w:val="both"/>
              <w:rPr>
                <w:rFonts w:ascii="Times New Roman" w:hAnsi="Times New Roman"/>
                <w:sz w:val="20"/>
                <w:szCs w:val="20"/>
              </w:rPr>
            </w:pPr>
            <w:r w:rsidRPr="002B47B3">
              <w:rPr>
                <w:rFonts w:ascii="Times New Roman" w:hAnsi="Times New Roman"/>
                <w:i/>
                <w:sz w:val="20"/>
                <w:szCs w:val="20"/>
              </w:rPr>
              <w:t xml:space="preserve">Caramelle in </w:t>
            </w:r>
            <w:proofErr w:type="spellStart"/>
            <w:r w:rsidRPr="002B47B3">
              <w:rPr>
                <w:rFonts w:ascii="Times New Roman" w:hAnsi="Times New Roman"/>
                <w:i/>
                <w:sz w:val="20"/>
                <w:szCs w:val="20"/>
              </w:rPr>
              <w:t>stick</w:t>
            </w:r>
            <w:proofErr w:type="spellEnd"/>
          </w:p>
          <w:p w:rsidR="000B2C48" w:rsidRPr="002B47B3" w:rsidRDefault="000B2C48" w:rsidP="00C65431">
            <w:pPr>
              <w:spacing w:after="0" w:line="360" w:lineRule="auto"/>
              <w:jc w:val="both"/>
              <w:rPr>
                <w:rFonts w:ascii="Times New Roman" w:hAnsi="Times New Roman"/>
                <w:sz w:val="20"/>
                <w:szCs w:val="20"/>
              </w:rPr>
            </w:pPr>
            <w:proofErr w:type="spellStart"/>
            <w:r w:rsidRPr="002B47B3">
              <w:rPr>
                <w:rFonts w:ascii="Times New Roman" w:hAnsi="Times New Roman"/>
                <w:sz w:val="20"/>
                <w:szCs w:val="20"/>
              </w:rPr>
              <w:t>Sidalm</w:t>
            </w:r>
            <w:proofErr w:type="spellEnd"/>
          </w:p>
        </w:tc>
        <w:tc>
          <w:tcPr>
            <w:tcW w:w="1506"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34,0</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38,6</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39,6</w:t>
            </w:r>
          </w:p>
        </w:tc>
        <w:tc>
          <w:tcPr>
            <w:tcW w:w="1729" w:type="dxa"/>
          </w:tcPr>
          <w:p w:rsidR="000B2C48" w:rsidRPr="002B47B3" w:rsidRDefault="000B2C48" w:rsidP="00C65431">
            <w:pPr>
              <w:spacing w:after="0" w:line="360" w:lineRule="auto"/>
              <w:jc w:val="right"/>
              <w:rPr>
                <w:rFonts w:ascii="Times New Roman" w:hAnsi="Times New Roman"/>
                <w:sz w:val="20"/>
                <w:szCs w:val="20"/>
              </w:rPr>
            </w:pPr>
          </w:p>
          <w:p w:rsidR="000B2C48" w:rsidRPr="002B47B3" w:rsidRDefault="000B2C48" w:rsidP="00C65431">
            <w:pPr>
              <w:spacing w:after="0" w:line="360" w:lineRule="auto"/>
              <w:jc w:val="right"/>
              <w:rPr>
                <w:rFonts w:ascii="Times New Roman" w:hAnsi="Times New Roman"/>
                <w:sz w:val="20"/>
                <w:szCs w:val="20"/>
              </w:rPr>
            </w:pPr>
            <w:r w:rsidRPr="002B47B3">
              <w:rPr>
                <w:rFonts w:ascii="Times New Roman" w:hAnsi="Times New Roman"/>
                <w:sz w:val="20"/>
                <w:szCs w:val="20"/>
              </w:rPr>
              <w:t>33,6</w:t>
            </w:r>
          </w:p>
        </w:tc>
      </w:tr>
    </w:tbl>
    <w:p w:rsidR="000B2C48" w:rsidRDefault="000B2C48" w:rsidP="000B2C48">
      <w:pPr>
        <w:spacing w:after="0" w:line="360" w:lineRule="auto"/>
        <w:jc w:val="both"/>
        <w:rPr>
          <w:rFonts w:ascii="Times New Roman" w:hAnsi="Times New Roman"/>
          <w:sz w:val="20"/>
          <w:szCs w:val="20"/>
        </w:rPr>
      </w:pPr>
    </w:p>
    <w:p w:rsidR="000B2C48" w:rsidRDefault="000B2C48" w:rsidP="000B2C48">
      <w:pPr>
        <w:spacing w:after="0" w:line="360" w:lineRule="auto"/>
        <w:jc w:val="both"/>
        <w:rPr>
          <w:rFonts w:ascii="Times New Roman" w:hAnsi="Times New Roman"/>
          <w:sz w:val="28"/>
          <w:szCs w:val="28"/>
        </w:rPr>
      </w:pPr>
    </w:p>
    <w:p w:rsidR="000B2C48" w:rsidRDefault="000B2C48" w:rsidP="000B2C48">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Ma ancora una volta i risultati ottenuti dalla nuova società sono </w:t>
      </w:r>
      <w:proofErr w:type="gramStart"/>
      <w:r>
        <w:rPr>
          <w:rFonts w:ascii="Times New Roman" w:hAnsi="Times New Roman"/>
          <w:sz w:val="28"/>
          <w:szCs w:val="28"/>
        </w:rPr>
        <w:t>estremamente</w:t>
      </w:r>
      <w:proofErr w:type="gramEnd"/>
      <w:r>
        <w:rPr>
          <w:rFonts w:ascii="Times New Roman" w:hAnsi="Times New Roman"/>
          <w:sz w:val="28"/>
          <w:szCs w:val="28"/>
        </w:rPr>
        <w:t xml:space="preserve"> deludenti. Il bilancio del 1988 dell’</w:t>
      </w:r>
      <w:proofErr w:type="spellStart"/>
      <w:r>
        <w:rPr>
          <w:rFonts w:ascii="Times New Roman" w:hAnsi="Times New Roman"/>
          <w:sz w:val="28"/>
          <w:szCs w:val="28"/>
        </w:rPr>
        <w:t>Alivar</w:t>
      </w:r>
      <w:proofErr w:type="spellEnd"/>
      <w:r>
        <w:rPr>
          <w:rFonts w:ascii="Times New Roman" w:hAnsi="Times New Roman"/>
          <w:sz w:val="28"/>
          <w:szCs w:val="28"/>
        </w:rPr>
        <w:t xml:space="preserve"> </w:t>
      </w:r>
      <w:proofErr w:type="gramStart"/>
      <w:r>
        <w:rPr>
          <w:rFonts w:ascii="Times New Roman" w:hAnsi="Times New Roman"/>
          <w:sz w:val="28"/>
          <w:szCs w:val="28"/>
        </w:rPr>
        <w:t>risulta</w:t>
      </w:r>
      <w:proofErr w:type="gramEnd"/>
      <w:r>
        <w:rPr>
          <w:rFonts w:ascii="Times New Roman" w:hAnsi="Times New Roman"/>
          <w:sz w:val="28"/>
          <w:szCs w:val="28"/>
        </w:rPr>
        <w:t xml:space="preserve"> avere un attivo di 8,6 miliardi di lire, ma questo dovuto al fatto che la divisione PAI (produttrice di </w:t>
      </w:r>
      <w:proofErr w:type="spellStart"/>
      <w:r>
        <w:rPr>
          <w:rFonts w:ascii="Times New Roman" w:hAnsi="Times New Roman"/>
          <w:sz w:val="28"/>
          <w:szCs w:val="28"/>
        </w:rPr>
        <w:t>snacks</w:t>
      </w:r>
      <w:proofErr w:type="spellEnd"/>
      <w:r>
        <w:rPr>
          <w:rFonts w:ascii="Times New Roman" w:hAnsi="Times New Roman"/>
          <w:sz w:val="28"/>
          <w:szCs w:val="28"/>
        </w:rPr>
        <w:t>) venne ceduta in un primo momento ad un’altra società appositamente costituita dall’</w:t>
      </w:r>
      <w:proofErr w:type="spellStart"/>
      <w:r>
        <w:rPr>
          <w:rFonts w:ascii="Times New Roman" w:hAnsi="Times New Roman"/>
          <w:sz w:val="28"/>
          <w:szCs w:val="28"/>
        </w:rPr>
        <w:t>Alivar</w:t>
      </w:r>
      <w:proofErr w:type="spellEnd"/>
      <w:r>
        <w:rPr>
          <w:rFonts w:ascii="Times New Roman" w:hAnsi="Times New Roman"/>
          <w:sz w:val="28"/>
          <w:szCs w:val="28"/>
        </w:rPr>
        <w:t xml:space="preserve">, e poi ne venne acquistato il 49% dalla PFI Italia S.r.l., società che era indirettamente controllata dalla </w:t>
      </w:r>
      <w:proofErr w:type="spellStart"/>
      <w:r>
        <w:rPr>
          <w:rFonts w:ascii="Times New Roman" w:hAnsi="Times New Roman"/>
          <w:sz w:val="28"/>
          <w:szCs w:val="28"/>
        </w:rPr>
        <w:t>Pepsico</w:t>
      </w:r>
      <w:proofErr w:type="spellEnd"/>
      <w:r>
        <w:rPr>
          <w:rFonts w:ascii="Times New Roman" w:hAnsi="Times New Roman"/>
          <w:sz w:val="28"/>
          <w:szCs w:val="28"/>
        </w:rPr>
        <w:t xml:space="preserve"> Inc. È in questo periodo, infatti, che l’</w:t>
      </w:r>
      <w:proofErr w:type="spellStart"/>
      <w:r>
        <w:rPr>
          <w:rFonts w:ascii="Times New Roman" w:hAnsi="Times New Roman"/>
          <w:sz w:val="28"/>
          <w:szCs w:val="28"/>
        </w:rPr>
        <w:t>Alivar</w:t>
      </w:r>
      <w:proofErr w:type="spellEnd"/>
      <w:r>
        <w:rPr>
          <w:rFonts w:ascii="Times New Roman" w:hAnsi="Times New Roman"/>
          <w:sz w:val="28"/>
          <w:szCs w:val="28"/>
        </w:rPr>
        <w:t xml:space="preserve"> cerca di muoversi nel mercato nazionale e internazionale attraverso alleanze e </w:t>
      </w:r>
      <w:proofErr w:type="spellStart"/>
      <w:r>
        <w:rPr>
          <w:rFonts w:ascii="Times New Roman" w:hAnsi="Times New Roman"/>
          <w:sz w:val="28"/>
          <w:szCs w:val="28"/>
        </w:rPr>
        <w:t>joint-ventures</w:t>
      </w:r>
      <w:proofErr w:type="spellEnd"/>
      <w:r>
        <w:rPr>
          <w:rFonts w:ascii="Times New Roman" w:hAnsi="Times New Roman"/>
          <w:sz w:val="28"/>
          <w:szCs w:val="28"/>
        </w:rPr>
        <w:t xml:space="preserve">, con le grandi multinazionali del settore alimentare, di cui </w:t>
      </w:r>
      <w:proofErr w:type="spellStart"/>
      <w:r>
        <w:rPr>
          <w:rFonts w:ascii="Times New Roman" w:hAnsi="Times New Roman"/>
          <w:sz w:val="28"/>
          <w:szCs w:val="28"/>
        </w:rPr>
        <w:t>Pepsico</w:t>
      </w:r>
      <w:proofErr w:type="spellEnd"/>
      <w:r>
        <w:rPr>
          <w:rFonts w:ascii="Times New Roman" w:hAnsi="Times New Roman"/>
          <w:sz w:val="28"/>
          <w:szCs w:val="28"/>
        </w:rPr>
        <w:t xml:space="preserve"> Inc. rappresentava solo una parte.</w:t>
      </w:r>
      <w:r>
        <w:rPr>
          <w:rStyle w:val="Rimandonotaapidipagina"/>
          <w:rFonts w:ascii="Times New Roman" w:hAnsi="Times New Roman"/>
          <w:sz w:val="28"/>
          <w:szCs w:val="28"/>
        </w:rPr>
        <w:footnoteReference w:id="30"/>
      </w:r>
    </w:p>
    <w:p w:rsidR="000B2C48" w:rsidRPr="006325DA" w:rsidRDefault="000B2C48" w:rsidP="000B2C48">
      <w:pPr>
        <w:spacing w:after="0" w:line="360" w:lineRule="auto"/>
        <w:jc w:val="both"/>
        <w:rPr>
          <w:rFonts w:ascii="Times New Roman" w:hAnsi="Times New Roman"/>
          <w:sz w:val="28"/>
          <w:szCs w:val="28"/>
        </w:rPr>
      </w:pPr>
      <w:r>
        <w:rPr>
          <w:rFonts w:ascii="Times New Roman" w:hAnsi="Times New Roman"/>
          <w:sz w:val="28"/>
          <w:szCs w:val="28"/>
        </w:rPr>
        <w:t xml:space="preserve">Le perdite, che continuano anche per gli anni seguenti, e anche per gli inizi degli anni Novanta, avrebbero poi portato la SME, come si è visto, </w:t>
      </w:r>
      <w:proofErr w:type="gramStart"/>
      <w:r>
        <w:rPr>
          <w:rFonts w:ascii="Times New Roman" w:hAnsi="Times New Roman"/>
          <w:sz w:val="28"/>
          <w:szCs w:val="28"/>
        </w:rPr>
        <w:t>ad</w:t>
      </w:r>
      <w:proofErr w:type="gramEnd"/>
      <w:r>
        <w:rPr>
          <w:rFonts w:ascii="Times New Roman" w:hAnsi="Times New Roman"/>
          <w:sz w:val="28"/>
          <w:szCs w:val="28"/>
        </w:rPr>
        <w:t xml:space="preserve"> una progressiva privatizzazione dei propri marchi e delle proprie aziende. Nel 1993, l’IRI decise la vendita di </w:t>
      </w:r>
      <w:proofErr w:type="spellStart"/>
      <w:r>
        <w:rPr>
          <w:rFonts w:ascii="Times New Roman" w:hAnsi="Times New Roman"/>
          <w:sz w:val="28"/>
          <w:szCs w:val="28"/>
        </w:rPr>
        <w:t>Italgel</w:t>
      </w:r>
      <w:proofErr w:type="spellEnd"/>
      <w:r>
        <w:rPr>
          <w:rFonts w:ascii="Times New Roman" w:hAnsi="Times New Roman"/>
          <w:sz w:val="28"/>
          <w:szCs w:val="28"/>
        </w:rPr>
        <w:t xml:space="preserve"> e Gruppo Dolciario Italiano, che tra i vari marchi possedevano Motta, Alemagna, Gelati Motta, Antica Gelateria del Corso e La Valle degli Orti, alla multinazionale svizzera Nestlè. Anche in questo quadro, l’incapacità di raccogliere la sfida al nuovo mercato sorto negli anni Ottanta, avrebbe visto importanti acquisizioni e partecipazioni di grandi multinazionali straniere, che già da anni avevano apportato ristrutturazioni aziendali tali da poter affrontare un mercato sempre più concentrato e segmentato. </w:t>
      </w:r>
    </w:p>
    <w:p w:rsidR="00D807B1" w:rsidRDefault="00D807B1" w:rsidP="000B2C48"/>
    <w:sectPr w:rsidR="00D807B1" w:rsidSect="00D807B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51" w:rsidRDefault="00C57E51" w:rsidP="000B2C48">
      <w:pPr>
        <w:spacing w:after="0" w:line="240" w:lineRule="auto"/>
      </w:pPr>
      <w:r>
        <w:separator/>
      </w:r>
    </w:p>
  </w:endnote>
  <w:endnote w:type="continuationSeparator" w:id="0">
    <w:p w:rsidR="00C57E51" w:rsidRDefault="00C57E51" w:rsidP="000B2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51" w:rsidRDefault="00C57E51" w:rsidP="000B2C48">
      <w:pPr>
        <w:spacing w:after="0" w:line="240" w:lineRule="auto"/>
      </w:pPr>
      <w:r>
        <w:separator/>
      </w:r>
    </w:p>
  </w:footnote>
  <w:footnote w:type="continuationSeparator" w:id="0">
    <w:p w:rsidR="00C57E51" w:rsidRDefault="00C57E51" w:rsidP="000B2C48">
      <w:pPr>
        <w:spacing w:after="0" w:line="240" w:lineRule="auto"/>
      </w:pPr>
      <w:r>
        <w:continuationSeparator/>
      </w:r>
    </w:p>
  </w:footnote>
  <w:footnote w:id="1">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r w:rsidRPr="007E74B5">
        <w:rPr>
          <w:rFonts w:cstheme="minorHAnsi"/>
          <w:sz w:val="22"/>
          <w:szCs w:val="22"/>
        </w:rPr>
        <w:t>SME-Napoli</w:t>
      </w:r>
      <w:proofErr w:type="spellEnd"/>
      <w:r w:rsidRPr="007E74B5">
        <w:rPr>
          <w:rFonts w:cstheme="minorHAnsi"/>
          <w:sz w:val="22"/>
          <w:szCs w:val="22"/>
        </w:rPr>
        <w:t xml:space="preserve">, </w:t>
      </w:r>
      <w:r w:rsidRPr="007E74B5">
        <w:rPr>
          <w:rFonts w:cstheme="minorHAnsi"/>
          <w:i/>
          <w:sz w:val="22"/>
          <w:szCs w:val="22"/>
        </w:rPr>
        <w:t>Esercizio 1965</w:t>
      </w:r>
      <w:r w:rsidRPr="007E74B5">
        <w:rPr>
          <w:rFonts w:cstheme="minorHAnsi"/>
          <w:sz w:val="22"/>
          <w:szCs w:val="22"/>
        </w:rPr>
        <w:t xml:space="preserve">, Napoli, s.d. (1966), p.15, </w:t>
      </w:r>
      <w:proofErr w:type="gramStart"/>
      <w:r w:rsidRPr="007E74B5">
        <w:rPr>
          <w:rFonts w:cstheme="minorHAnsi"/>
          <w:sz w:val="22"/>
          <w:szCs w:val="22"/>
        </w:rPr>
        <w:t>ID.</w:t>
      </w:r>
      <w:proofErr w:type="gramEnd"/>
      <w:r w:rsidRPr="007E74B5">
        <w:rPr>
          <w:rFonts w:cstheme="minorHAnsi"/>
          <w:sz w:val="22"/>
          <w:szCs w:val="22"/>
        </w:rPr>
        <w:t xml:space="preserve">, </w:t>
      </w:r>
      <w:r w:rsidRPr="007E74B5">
        <w:rPr>
          <w:rFonts w:cstheme="minorHAnsi"/>
          <w:i/>
          <w:sz w:val="22"/>
          <w:szCs w:val="22"/>
        </w:rPr>
        <w:t>Esercizio 1968</w:t>
      </w:r>
      <w:r w:rsidRPr="007E74B5">
        <w:rPr>
          <w:rFonts w:cstheme="minorHAnsi"/>
          <w:sz w:val="22"/>
          <w:szCs w:val="22"/>
        </w:rPr>
        <w:t>, Napoli s.d. (1969), p. 19</w:t>
      </w:r>
      <w:r>
        <w:rPr>
          <w:rFonts w:cstheme="minorHAnsi"/>
          <w:sz w:val="22"/>
          <w:szCs w:val="22"/>
        </w:rPr>
        <w:t>.</w:t>
      </w:r>
    </w:p>
  </w:footnote>
  <w:footnote w:id="2">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Gallo, Covino, </w:t>
      </w:r>
      <w:proofErr w:type="spellStart"/>
      <w:r w:rsidRPr="007E74B5">
        <w:rPr>
          <w:rFonts w:cstheme="minorHAnsi"/>
          <w:sz w:val="22"/>
          <w:szCs w:val="22"/>
        </w:rPr>
        <w:t>Monicchia</w:t>
      </w:r>
      <w:proofErr w:type="spellEnd"/>
      <w:r w:rsidRPr="007E74B5">
        <w:rPr>
          <w:rFonts w:cstheme="minorHAnsi"/>
          <w:sz w:val="22"/>
          <w:szCs w:val="22"/>
        </w:rPr>
        <w:t xml:space="preserve">, </w:t>
      </w:r>
      <w:r w:rsidRPr="007E74B5">
        <w:rPr>
          <w:rFonts w:cstheme="minorHAnsi"/>
          <w:i/>
          <w:sz w:val="22"/>
          <w:szCs w:val="22"/>
        </w:rPr>
        <w:t>Crescita, crisi, riorganizzazione</w:t>
      </w:r>
      <w:r w:rsidRPr="007E74B5">
        <w:rPr>
          <w:rFonts w:cstheme="minorHAnsi"/>
          <w:sz w:val="22"/>
          <w:szCs w:val="22"/>
        </w:rPr>
        <w:t>, cit. pag. 313.</w:t>
      </w:r>
    </w:p>
  </w:footnote>
  <w:footnote w:id="3">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 xml:space="preserve">Crisi e ristrutturazioni </w:t>
      </w:r>
      <w:proofErr w:type="gramStart"/>
      <w:r w:rsidRPr="007E74B5">
        <w:rPr>
          <w:rFonts w:cstheme="minorHAnsi"/>
          <w:i/>
          <w:sz w:val="22"/>
          <w:szCs w:val="22"/>
        </w:rPr>
        <w:t xml:space="preserve">di </w:t>
      </w:r>
      <w:proofErr w:type="gramEnd"/>
      <w:r w:rsidRPr="007E74B5">
        <w:rPr>
          <w:rFonts w:cstheme="minorHAnsi"/>
          <w:i/>
          <w:sz w:val="22"/>
          <w:szCs w:val="22"/>
        </w:rPr>
        <w:t xml:space="preserve">impresa. Il caso </w:t>
      </w:r>
      <w:proofErr w:type="spellStart"/>
      <w:r w:rsidRPr="007E74B5">
        <w:rPr>
          <w:rFonts w:cstheme="minorHAnsi"/>
          <w:i/>
          <w:sz w:val="22"/>
          <w:szCs w:val="22"/>
        </w:rPr>
        <w:t>Motta-Alemagna</w:t>
      </w:r>
      <w:proofErr w:type="spellEnd"/>
      <w:r w:rsidRPr="007E74B5">
        <w:rPr>
          <w:rFonts w:cstheme="minorHAnsi"/>
          <w:sz w:val="22"/>
          <w:szCs w:val="22"/>
        </w:rPr>
        <w:t>, ETAS, Milano, 1991, p.45-46</w:t>
      </w:r>
      <w:r>
        <w:rPr>
          <w:rFonts w:cstheme="minorHAnsi"/>
          <w:sz w:val="22"/>
          <w:szCs w:val="22"/>
        </w:rPr>
        <w:t>.</w:t>
      </w:r>
    </w:p>
  </w:footnote>
  <w:footnote w:id="4">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r w:rsidRPr="007E74B5">
        <w:rPr>
          <w:rFonts w:cstheme="minorHAnsi"/>
          <w:sz w:val="22"/>
          <w:szCs w:val="22"/>
        </w:rPr>
        <w:t>Sme-Napoli</w:t>
      </w:r>
      <w:proofErr w:type="spellEnd"/>
      <w:r w:rsidRPr="007E74B5">
        <w:rPr>
          <w:rFonts w:cstheme="minorHAnsi"/>
          <w:sz w:val="22"/>
          <w:szCs w:val="22"/>
        </w:rPr>
        <w:t xml:space="preserve">, </w:t>
      </w:r>
      <w:r w:rsidRPr="007E74B5">
        <w:rPr>
          <w:rFonts w:cstheme="minorHAnsi"/>
          <w:i/>
          <w:sz w:val="22"/>
          <w:szCs w:val="22"/>
        </w:rPr>
        <w:t xml:space="preserve">Assemblea straordinaria del 28 settembre 1982, </w:t>
      </w:r>
      <w:r w:rsidRPr="007E74B5">
        <w:rPr>
          <w:rFonts w:cstheme="minorHAnsi"/>
          <w:sz w:val="22"/>
          <w:szCs w:val="22"/>
        </w:rPr>
        <w:t>s.l. s.d. (1982).</w:t>
      </w:r>
    </w:p>
  </w:footnote>
  <w:footnote w:id="5">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proofErr w:type="gramStart"/>
      <w:r w:rsidRPr="007E74B5">
        <w:rPr>
          <w:rFonts w:cstheme="minorHAnsi"/>
          <w:sz w:val="22"/>
          <w:szCs w:val="22"/>
        </w:rPr>
        <w:t>Sme-Napoli</w:t>
      </w:r>
      <w:proofErr w:type="spellEnd"/>
      <w:r w:rsidRPr="007E74B5">
        <w:rPr>
          <w:rFonts w:cstheme="minorHAnsi"/>
          <w:sz w:val="22"/>
          <w:szCs w:val="22"/>
        </w:rPr>
        <w:t xml:space="preserve">, </w:t>
      </w:r>
      <w:r w:rsidRPr="007E74B5">
        <w:rPr>
          <w:rFonts w:cstheme="minorHAnsi"/>
          <w:i/>
          <w:sz w:val="22"/>
          <w:szCs w:val="22"/>
        </w:rPr>
        <w:t xml:space="preserve">Relazioni e bilancio al 31 dicembre 1984, </w:t>
      </w:r>
      <w:r w:rsidRPr="007E74B5">
        <w:rPr>
          <w:rFonts w:cstheme="minorHAnsi"/>
          <w:sz w:val="22"/>
          <w:szCs w:val="22"/>
        </w:rPr>
        <w:t>s.l. s.d. (1985) pp.8-9.</w:t>
      </w:r>
      <w:proofErr w:type="gramEnd"/>
    </w:p>
  </w:footnote>
  <w:footnote w:id="6">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proofErr w:type="gramStart"/>
      <w:r w:rsidRPr="007E74B5">
        <w:rPr>
          <w:rFonts w:cstheme="minorHAnsi"/>
          <w:sz w:val="22"/>
          <w:szCs w:val="22"/>
        </w:rPr>
        <w:t>Sme-Napoli</w:t>
      </w:r>
      <w:proofErr w:type="spellEnd"/>
      <w:r w:rsidRPr="007E74B5">
        <w:rPr>
          <w:rFonts w:cstheme="minorHAnsi"/>
          <w:sz w:val="22"/>
          <w:szCs w:val="22"/>
        </w:rPr>
        <w:t xml:space="preserve">, </w:t>
      </w:r>
      <w:r w:rsidRPr="007E74B5">
        <w:rPr>
          <w:rFonts w:cstheme="minorHAnsi"/>
          <w:i/>
          <w:sz w:val="22"/>
          <w:szCs w:val="22"/>
        </w:rPr>
        <w:t>Relazioni e bilancio al 31 dicembre 1986</w:t>
      </w:r>
      <w:r w:rsidRPr="007E74B5">
        <w:rPr>
          <w:rFonts w:cstheme="minorHAnsi"/>
          <w:sz w:val="22"/>
          <w:szCs w:val="22"/>
        </w:rPr>
        <w:t>, s.l. s.d. (1986), p. 12.</w:t>
      </w:r>
      <w:proofErr w:type="gramEnd"/>
    </w:p>
  </w:footnote>
  <w:footnote w:id="7">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gramStart"/>
      <w:r w:rsidRPr="007E74B5">
        <w:rPr>
          <w:rFonts w:cstheme="minorHAnsi"/>
          <w:i/>
          <w:sz w:val="22"/>
          <w:szCs w:val="22"/>
        </w:rPr>
        <w:t>La vicenda Sme dall’Iri a Berlusconi</w:t>
      </w:r>
      <w:r w:rsidRPr="007E74B5">
        <w:rPr>
          <w:rFonts w:cstheme="minorHAnsi"/>
          <w:sz w:val="22"/>
          <w:szCs w:val="22"/>
        </w:rPr>
        <w:t>, in, «La Repubblica», 5 maggio 2003.</w:t>
      </w:r>
      <w:proofErr w:type="gramEnd"/>
    </w:p>
  </w:footnote>
  <w:footnote w:id="8">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La sentenza della prima sezione del Tribunale civile di Roma che segna uno stop decisivo, ma non definitivo, della scalata di De Benedetti alla Sme, </w:t>
      </w:r>
      <w:proofErr w:type="gramStart"/>
      <w:r w:rsidRPr="007E74B5">
        <w:rPr>
          <w:rFonts w:cstheme="minorHAnsi"/>
          <w:sz w:val="22"/>
          <w:szCs w:val="22"/>
        </w:rPr>
        <w:t>viene</w:t>
      </w:r>
      <w:proofErr w:type="gramEnd"/>
      <w:r w:rsidRPr="007E74B5">
        <w:rPr>
          <w:rFonts w:cstheme="minorHAnsi"/>
          <w:sz w:val="22"/>
          <w:szCs w:val="22"/>
        </w:rPr>
        <w:t xml:space="preserve"> riportata integralmente in, </w:t>
      </w:r>
      <w:r w:rsidRPr="007E74B5">
        <w:rPr>
          <w:rFonts w:cstheme="minorHAnsi"/>
          <w:i/>
          <w:sz w:val="22"/>
          <w:szCs w:val="22"/>
        </w:rPr>
        <w:t>I giudici hanno ragionato così</w:t>
      </w:r>
      <w:r w:rsidRPr="007E74B5">
        <w:rPr>
          <w:rFonts w:cstheme="minorHAnsi"/>
          <w:sz w:val="22"/>
          <w:szCs w:val="22"/>
        </w:rPr>
        <w:t>, in, «Il Sole 24 Ore», 20-21 luglio 1986.</w:t>
      </w:r>
    </w:p>
  </w:footnote>
  <w:footnote w:id="9">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Ibidem</w:t>
      </w:r>
      <w:r>
        <w:rPr>
          <w:rFonts w:cstheme="minorHAnsi"/>
          <w:i/>
          <w:sz w:val="22"/>
          <w:szCs w:val="22"/>
        </w:rPr>
        <w:t>.</w:t>
      </w:r>
    </w:p>
  </w:footnote>
  <w:footnote w:id="10">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proofErr w:type="gramStart"/>
      <w:r w:rsidRPr="007E74B5">
        <w:rPr>
          <w:rFonts w:cstheme="minorHAnsi"/>
          <w:sz w:val="22"/>
          <w:szCs w:val="22"/>
        </w:rPr>
        <w:t>Mardo</w:t>
      </w:r>
      <w:proofErr w:type="spellEnd"/>
      <w:r w:rsidRPr="007E74B5">
        <w:rPr>
          <w:rFonts w:cstheme="minorHAnsi"/>
          <w:sz w:val="22"/>
          <w:szCs w:val="22"/>
        </w:rPr>
        <w:t xml:space="preserve"> </w:t>
      </w:r>
      <w:proofErr w:type="spellStart"/>
      <w:r w:rsidRPr="007E74B5">
        <w:rPr>
          <w:rFonts w:cstheme="minorHAnsi"/>
          <w:sz w:val="22"/>
          <w:szCs w:val="22"/>
        </w:rPr>
        <w:t>Bracconi</w:t>
      </w:r>
      <w:proofErr w:type="spellEnd"/>
      <w:r w:rsidRPr="007E74B5">
        <w:rPr>
          <w:rFonts w:cstheme="minorHAnsi"/>
          <w:sz w:val="22"/>
          <w:szCs w:val="22"/>
        </w:rPr>
        <w:t xml:space="preserve">, </w:t>
      </w:r>
      <w:r w:rsidRPr="007E74B5">
        <w:rPr>
          <w:rFonts w:cstheme="minorHAnsi"/>
          <w:i/>
          <w:sz w:val="22"/>
          <w:szCs w:val="22"/>
        </w:rPr>
        <w:t>Storia di un processo infinito fra udienze, leggi e girotondi</w:t>
      </w:r>
      <w:r w:rsidRPr="007E74B5">
        <w:rPr>
          <w:rFonts w:cstheme="minorHAnsi"/>
          <w:sz w:val="22"/>
          <w:szCs w:val="22"/>
        </w:rPr>
        <w:t>, in, «La Repubblica», 22 novembre 2003.</w:t>
      </w:r>
      <w:proofErr w:type="gramEnd"/>
    </w:p>
  </w:footnote>
  <w:footnote w:id="11">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gramStart"/>
      <w:r w:rsidRPr="007E74B5">
        <w:rPr>
          <w:rFonts w:cstheme="minorHAnsi"/>
          <w:sz w:val="22"/>
          <w:szCs w:val="22"/>
        </w:rPr>
        <w:t xml:space="preserve">Il processo durò diversi anni; per avere una visione d’insieme delle vicende confrontare, </w:t>
      </w:r>
      <w:r w:rsidRPr="007E74B5">
        <w:rPr>
          <w:rFonts w:cstheme="minorHAnsi"/>
          <w:i/>
          <w:sz w:val="22"/>
          <w:szCs w:val="22"/>
        </w:rPr>
        <w:t>Sme: processo tutto da rifare</w:t>
      </w:r>
      <w:r w:rsidRPr="007E74B5">
        <w:rPr>
          <w:rFonts w:cstheme="minorHAnsi"/>
          <w:sz w:val="22"/>
          <w:szCs w:val="22"/>
        </w:rPr>
        <w:t xml:space="preserve">, in, «Corriere della Sera», 1 dicembre 2006, </w:t>
      </w:r>
      <w:r w:rsidRPr="007E74B5">
        <w:rPr>
          <w:rFonts w:cstheme="minorHAnsi"/>
          <w:i/>
          <w:sz w:val="22"/>
          <w:szCs w:val="22"/>
        </w:rPr>
        <w:t>Via libera all’immunità per le alte cariche</w:t>
      </w:r>
      <w:r w:rsidRPr="007E74B5">
        <w:rPr>
          <w:rFonts w:cstheme="minorHAnsi"/>
          <w:sz w:val="22"/>
          <w:szCs w:val="22"/>
        </w:rPr>
        <w:t xml:space="preserve">, in, «Corriere della Sera», 18 giugno 2003, </w:t>
      </w:r>
      <w:r w:rsidRPr="007E74B5">
        <w:rPr>
          <w:rFonts w:cstheme="minorHAnsi"/>
          <w:i/>
          <w:sz w:val="22"/>
          <w:szCs w:val="22"/>
        </w:rPr>
        <w:t>Consulta: il Lodo Schifani è illegittimo</w:t>
      </w:r>
      <w:r w:rsidRPr="007E74B5">
        <w:rPr>
          <w:rFonts w:cstheme="minorHAnsi"/>
          <w:sz w:val="22"/>
          <w:szCs w:val="22"/>
        </w:rPr>
        <w:t xml:space="preserve">, in, «Corriere della Sera», 13 gennaio 2004, </w:t>
      </w:r>
      <w:r w:rsidRPr="007E74B5">
        <w:rPr>
          <w:rFonts w:cstheme="minorHAnsi"/>
          <w:i/>
          <w:sz w:val="22"/>
          <w:szCs w:val="22"/>
        </w:rPr>
        <w:t>Cesare Previti condannato a cinque anni</w:t>
      </w:r>
      <w:r w:rsidRPr="007E74B5">
        <w:rPr>
          <w:rFonts w:cstheme="minorHAnsi"/>
          <w:sz w:val="22"/>
          <w:szCs w:val="22"/>
        </w:rPr>
        <w:t xml:space="preserve">, in, «Corriere della Sera», 22 novembre 2003, </w:t>
      </w:r>
      <w:r w:rsidRPr="007E74B5">
        <w:rPr>
          <w:rFonts w:cstheme="minorHAnsi"/>
          <w:i/>
          <w:sz w:val="22"/>
          <w:szCs w:val="22"/>
        </w:rPr>
        <w:t>Sme: «Assoluzione e prescrizione»</w:t>
      </w:r>
      <w:r w:rsidRPr="007E74B5">
        <w:rPr>
          <w:rFonts w:cstheme="minorHAnsi"/>
          <w:sz w:val="22"/>
          <w:szCs w:val="22"/>
        </w:rPr>
        <w:t xml:space="preserve">, in, «Corriere della Sera», 10 dicembre 2004, </w:t>
      </w:r>
      <w:r w:rsidRPr="007E74B5">
        <w:rPr>
          <w:rFonts w:cstheme="minorHAnsi"/>
          <w:i/>
          <w:sz w:val="22"/>
          <w:szCs w:val="22"/>
        </w:rPr>
        <w:t>Processo Sme: cinque anni a Previti</w:t>
      </w:r>
      <w:r w:rsidRPr="007E74B5">
        <w:rPr>
          <w:rFonts w:cstheme="minorHAnsi"/>
          <w:sz w:val="22"/>
          <w:szCs w:val="22"/>
        </w:rPr>
        <w:t xml:space="preserve">, in, «Corriere della Sera», 3 dicembre 2005, </w:t>
      </w:r>
      <w:r w:rsidRPr="007E74B5">
        <w:rPr>
          <w:rFonts w:cstheme="minorHAnsi"/>
          <w:i/>
          <w:sz w:val="22"/>
          <w:szCs w:val="22"/>
        </w:rPr>
        <w:t>Processo Sme, Berlusconi assolto</w:t>
      </w:r>
      <w:r w:rsidRPr="007E74B5">
        <w:rPr>
          <w:rFonts w:cstheme="minorHAnsi"/>
          <w:sz w:val="22"/>
          <w:szCs w:val="22"/>
        </w:rPr>
        <w:t xml:space="preserve">, in, «Corriere della Sera», 27 aprile 2007, </w:t>
      </w:r>
      <w:r w:rsidRPr="007E74B5">
        <w:rPr>
          <w:rFonts w:cstheme="minorHAnsi"/>
          <w:i/>
          <w:sz w:val="22"/>
          <w:szCs w:val="22"/>
        </w:rPr>
        <w:t>Sme, la Cassazione assolve Berlusconi</w:t>
      </w:r>
      <w:r w:rsidRPr="007E74B5">
        <w:rPr>
          <w:rFonts w:cstheme="minorHAnsi"/>
          <w:sz w:val="22"/>
          <w:szCs w:val="22"/>
        </w:rPr>
        <w:t xml:space="preserve">, in, «Corriere della Sera», 26 ottobre 2007, </w:t>
      </w:r>
      <w:r w:rsidRPr="007E74B5">
        <w:rPr>
          <w:rFonts w:cstheme="minorHAnsi"/>
          <w:i/>
          <w:sz w:val="22"/>
          <w:szCs w:val="22"/>
        </w:rPr>
        <w:t>Processo Sme, Silvio Berlusconi assolto</w:t>
      </w:r>
      <w:r w:rsidRPr="007E74B5">
        <w:rPr>
          <w:rFonts w:cstheme="minorHAnsi"/>
          <w:sz w:val="22"/>
          <w:szCs w:val="22"/>
        </w:rPr>
        <w:t>, in, «Corriere della Sera», 30 gennaio 2008.</w:t>
      </w:r>
      <w:proofErr w:type="gramEnd"/>
    </w:p>
  </w:footnote>
  <w:footnote w:id="12">
    <w:p w:rsidR="000B2C48" w:rsidRPr="007E74B5" w:rsidRDefault="000B2C48" w:rsidP="000B2C48">
      <w:pPr>
        <w:pStyle w:val="Testonotaapidipagina"/>
        <w:jc w:val="both"/>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Gallo, Covino, </w:t>
      </w:r>
      <w:proofErr w:type="spellStart"/>
      <w:r w:rsidRPr="007E74B5">
        <w:rPr>
          <w:rFonts w:cstheme="minorHAnsi"/>
          <w:sz w:val="22"/>
          <w:szCs w:val="22"/>
        </w:rPr>
        <w:t>Monicchia</w:t>
      </w:r>
      <w:proofErr w:type="spellEnd"/>
      <w:r w:rsidRPr="007E74B5">
        <w:rPr>
          <w:rFonts w:cstheme="minorHAnsi"/>
          <w:sz w:val="22"/>
          <w:szCs w:val="22"/>
        </w:rPr>
        <w:t xml:space="preserve">, </w:t>
      </w:r>
      <w:r w:rsidRPr="007E74B5">
        <w:rPr>
          <w:rFonts w:cstheme="minorHAnsi"/>
          <w:i/>
          <w:sz w:val="22"/>
          <w:szCs w:val="22"/>
        </w:rPr>
        <w:t>Crescita, crisi, riorganizzazione</w:t>
      </w:r>
      <w:r w:rsidRPr="007E74B5">
        <w:rPr>
          <w:rFonts w:cstheme="minorHAnsi"/>
          <w:sz w:val="22"/>
          <w:szCs w:val="22"/>
        </w:rPr>
        <w:t>, cit. p.320.321.</w:t>
      </w:r>
    </w:p>
  </w:footnote>
  <w:footnote w:id="13">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Ibidem</w:t>
      </w:r>
      <w:r>
        <w:rPr>
          <w:rFonts w:cstheme="minorHAnsi"/>
          <w:i/>
          <w:sz w:val="22"/>
          <w:szCs w:val="22"/>
        </w:rPr>
        <w:t>.</w:t>
      </w:r>
    </w:p>
  </w:footnote>
  <w:footnote w:id="14">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 xml:space="preserve">Ibidem, </w:t>
      </w:r>
      <w:r>
        <w:rPr>
          <w:rFonts w:cstheme="minorHAnsi"/>
          <w:sz w:val="22"/>
          <w:szCs w:val="22"/>
        </w:rPr>
        <w:t>pp</w:t>
      </w:r>
      <w:r w:rsidRPr="007E74B5">
        <w:rPr>
          <w:rFonts w:cstheme="minorHAnsi"/>
          <w:sz w:val="22"/>
          <w:szCs w:val="22"/>
        </w:rPr>
        <w:t xml:space="preserve">. 323-324, confrontare anche Fabrizio Barca, Sandro Trento, </w:t>
      </w:r>
      <w:r w:rsidRPr="007E74B5">
        <w:rPr>
          <w:rFonts w:cstheme="minorHAnsi"/>
          <w:i/>
          <w:sz w:val="22"/>
          <w:szCs w:val="22"/>
        </w:rPr>
        <w:t>La parabola delle partecipazioni statali</w:t>
      </w:r>
      <w:r w:rsidRPr="007E74B5">
        <w:rPr>
          <w:rFonts w:cstheme="minorHAnsi"/>
          <w:sz w:val="22"/>
          <w:szCs w:val="22"/>
        </w:rPr>
        <w:t xml:space="preserve">, in, Fabrizio Barca (a cura di), </w:t>
      </w:r>
      <w:r w:rsidRPr="007E74B5">
        <w:rPr>
          <w:rFonts w:cstheme="minorHAnsi"/>
          <w:i/>
          <w:sz w:val="22"/>
          <w:szCs w:val="22"/>
        </w:rPr>
        <w:t>Storia del capitalismo</w:t>
      </w:r>
      <w:r w:rsidRPr="007E74B5">
        <w:rPr>
          <w:rFonts w:cstheme="minorHAnsi"/>
          <w:sz w:val="22"/>
          <w:szCs w:val="22"/>
        </w:rPr>
        <w:t xml:space="preserve"> </w:t>
      </w:r>
      <w:r w:rsidRPr="007E74B5">
        <w:rPr>
          <w:rFonts w:cstheme="minorHAnsi"/>
          <w:i/>
          <w:sz w:val="22"/>
          <w:szCs w:val="22"/>
        </w:rPr>
        <w:t xml:space="preserve">italiano: dal dopoguerra </w:t>
      </w:r>
      <w:proofErr w:type="gramStart"/>
      <w:r w:rsidRPr="007E74B5">
        <w:rPr>
          <w:rFonts w:cstheme="minorHAnsi"/>
          <w:i/>
          <w:sz w:val="22"/>
          <w:szCs w:val="22"/>
        </w:rPr>
        <w:t>ad</w:t>
      </w:r>
      <w:proofErr w:type="gramEnd"/>
      <w:r w:rsidRPr="007E74B5">
        <w:rPr>
          <w:rFonts w:cstheme="minorHAnsi"/>
          <w:i/>
          <w:sz w:val="22"/>
          <w:szCs w:val="22"/>
        </w:rPr>
        <w:t xml:space="preserve"> oggi</w:t>
      </w:r>
      <w:r w:rsidRPr="007E74B5">
        <w:rPr>
          <w:rFonts w:cstheme="minorHAnsi"/>
          <w:sz w:val="22"/>
          <w:szCs w:val="22"/>
        </w:rPr>
        <w:t>, Roma, Donzelli, 1997, pp. 226-232.</w:t>
      </w:r>
    </w:p>
    <w:p w:rsidR="000B2C48" w:rsidRPr="007E74B5" w:rsidRDefault="000B2C48" w:rsidP="000B2C48">
      <w:pPr>
        <w:pStyle w:val="Testonotaapidipagina"/>
        <w:rPr>
          <w:rFonts w:cstheme="minorHAnsi"/>
          <w:sz w:val="22"/>
          <w:szCs w:val="22"/>
        </w:rPr>
      </w:pPr>
    </w:p>
  </w:footnote>
  <w:footnote w:id="15">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 xml:space="preserve">Strategia d’impresa. </w:t>
      </w:r>
      <w:proofErr w:type="gramStart"/>
      <w:r w:rsidRPr="007E74B5">
        <w:rPr>
          <w:rFonts w:cstheme="minorHAnsi"/>
          <w:i/>
          <w:sz w:val="22"/>
          <w:szCs w:val="22"/>
        </w:rPr>
        <w:t>La formazione di un gruppo italiano: la SME</w:t>
      </w:r>
      <w:r w:rsidRPr="007E74B5">
        <w:rPr>
          <w:rFonts w:cstheme="minorHAnsi"/>
          <w:sz w:val="22"/>
          <w:szCs w:val="22"/>
        </w:rPr>
        <w:t xml:space="preserve">, </w:t>
      </w:r>
      <w:proofErr w:type="spellStart"/>
      <w:r w:rsidRPr="007E74B5">
        <w:rPr>
          <w:rFonts w:cstheme="minorHAnsi"/>
          <w:sz w:val="22"/>
          <w:szCs w:val="22"/>
        </w:rPr>
        <w:t>Etas</w:t>
      </w:r>
      <w:proofErr w:type="spellEnd"/>
      <w:r w:rsidRPr="007E74B5">
        <w:rPr>
          <w:rFonts w:cstheme="minorHAnsi"/>
          <w:sz w:val="22"/>
          <w:szCs w:val="22"/>
        </w:rPr>
        <w:t xml:space="preserve"> Libri, Milano, 1987.</w:t>
      </w:r>
      <w:proofErr w:type="gramEnd"/>
    </w:p>
  </w:footnote>
  <w:footnote w:id="16">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proofErr w:type="gramStart"/>
      <w:r w:rsidRPr="007E74B5">
        <w:rPr>
          <w:rFonts w:cstheme="minorHAnsi"/>
          <w:sz w:val="22"/>
          <w:szCs w:val="22"/>
        </w:rPr>
        <w:t xml:space="preserve">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Presentazione delle due aziende</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 xml:space="preserve">Crisi e ristrutturazioni d’impresa: il caso </w:t>
      </w:r>
      <w:proofErr w:type="spellStart"/>
      <w:r w:rsidRPr="007E74B5">
        <w:rPr>
          <w:rFonts w:cstheme="minorHAnsi"/>
          <w:i/>
          <w:sz w:val="22"/>
          <w:szCs w:val="22"/>
        </w:rPr>
        <w:t>Motta-Alemagna</w:t>
      </w:r>
      <w:proofErr w:type="spellEnd"/>
      <w:r w:rsidRPr="007E74B5">
        <w:rPr>
          <w:rFonts w:cstheme="minorHAnsi"/>
          <w:sz w:val="22"/>
          <w:szCs w:val="22"/>
        </w:rPr>
        <w:t xml:space="preserve">, </w:t>
      </w:r>
      <w:proofErr w:type="spellStart"/>
      <w:r w:rsidRPr="007E74B5">
        <w:rPr>
          <w:rFonts w:cstheme="minorHAnsi"/>
          <w:sz w:val="22"/>
          <w:szCs w:val="22"/>
        </w:rPr>
        <w:t>Et</w:t>
      </w:r>
      <w:proofErr w:type="gramEnd"/>
      <w:r w:rsidRPr="007E74B5">
        <w:rPr>
          <w:rFonts w:cstheme="minorHAnsi"/>
          <w:sz w:val="22"/>
          <w:szCs w:val="22"/>
        </w:rPr>
        <w:t>as</w:t>
      </w:r>
      <w:proofErr w:type="spellEnd"/>
      <w:r w:rsidRPr="007E74B5">
        <w:rPr>
          <w:rFonts w:cstheme="minorHAnsi"/>
          <w:sz w:val="22"/>
          <w:szCs w:val="22"/>
        </w:rPr>
        <w:t xml:space="preserve"> Libri, Milano, 1991, pp. 7-8.</w:t>
      </w:r>
    </w:p>
  </w:footnote>
  <w:footnote w:id="17">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proofErr w:type="gramStart"/>
      <w:r w:rsidRPr="007E74B5">
        <w:rPr>
          <w:rFonts w:cstheme="minorHAnsi"/>
          <w:sz w:val="22"/>
          <w:szCs w:val="22"/>
        </w:rPr>
        <w:t xml:space="preserve">Adele </w:t>
      </w:r>
      <w:proofErr w:type="spellStart"/>
      <w:r w:rsidRPr="007E74B5">
        <w:rPr>
          <w:rFonts w:cstheme="minorHAnsi"/>
          <w:sz w:val="22"/>
          <w:szCs w:val="22"/>
        </w:rPr>
        <w:t>Perenze</w:t>
      </w:r>
      <w:proofErr w:type="spellEnd"/>
      <w:r w:rsidRPr="007E74B5">
        <w:rPr>
          <w:rFonts w:cstheme="minorHAnsi"/>
          <w:sz w:val="22"/>
          <w:szCs w:val="22"/>
        </w:rPr>
        <w:t xml:space="preserve">, </w:t>
      </w:r>
      <w:r w:rsidRPr="007E74B5">
        <w:rPr>
          <w:rFonts w:cstheme="minorHAnsi"/>
          <w:i/>
          <w:sz w:val="22"/>
          <w:szCs w:val="22"/>
        </w:rPr>
        <w:t>La crisi di Motta e Alemagna</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pp. 22-23.</w:t>
      </w:r>
      <w:proofErr w:type="gramEnd"/>
    </w:p>
  </w:footnote>
  <w:footnote w:id="18">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Per una descrizione completa delle due ipotesi confrontare Adele </w:t>
      </w:r>
      <w:proofErr w:type="spellStart"/>
      <w:r w:rsidRPr="007E74B5">
        <w:rPr>
          <w:rFonts w:cstheme="minorHAnsi"/>
          <w:sz w:val="22"/>
          <w:szCs w:val="22"/>
        </w:rPr>
        <w:t>Perenze</w:t>
      </w:r>
      <w:proofErr w:type="spellEnd"/>
      <w:r w:rsidRPr="007E74B5">
        <w:rPr>
          <w:rFonts w:cstheme="minorHAnsi"/>
          <w:sz w:val="22"/>
          <w:szCs w:val="22"/>
        </w:rPr>
        <w:t xml:space="preserve">, </w:t>
      </w:r>
      <w:r w:rsidRPr="007E74B5">
        <w:rPr>
          <w:rFonts w:cstheme="minorHAnsi"/>
          <w:i/>
          <w:sz w:val="22"/>
          <w:szCs w:val="22"/>
        </w:rPr>
        <w:t>La coscienza della crisi e la ristrutturazione</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pp. 39-47.</w:t>
      </w:r>
    </w:p>
  </w:footnote>
  <w:footnote w:id="19">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Il piano di ristrutturazione dell’</w:t>
      </w:r>
      <w:proofErr w:type="spellStart"/>
      <w:r w:rsidRPr="007E74B5">
        <w:rPr>
          <w:rFonts w:cstheme="minorHAnsi"/>
          <w:i/>
          <w:sz w:val="22"/>
          <w:szCs w:val="22"/>
        </w:rPr>
        <w:t>Unidal</w:t>
      </w:r>
      <w:proofErr w:type="spellEnd"/>
      <w:r w:rsidRPr="007E74B5">
        <w:rPr>
          <w:rFonts w:cstheme="minorHAnsi"/>
          <w:sz w:val="22"/>
          <w:szCs w:val="22"/>
        </w:rPr>
        <w:t xml:space="preserve">, Appendice </w:t>
      </w:r>
      <w:proofErr w:type="gramStart"/>
      <w:r w:rsidRPr="007E74B5">
        <w:rPr>
          <w:rFonts w:cstheme="minorHAnsi"/>
          <w:sz w:val="22"/>
          <w:szCs w:val="22"/>
        </w:rPr>
        <w:t>8</w:t>
      </w:r>
      <w:proofErr w:type="gramEnd"/>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 132.</w:t>
      </w:r>
    </w:p>
  </w:footnote>
  <w:footnote w:id="20">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Ibidem</w:t>
      </w:r>
      <w:r w:rsidRPr="007E74B5">
        <w:rPr>
          <w:rFonts w:cstheme="minorHAnsi"/>
          <w:sz w:val="22"/>
          <w:szCs w:val="22"/>
        </w:rPr>
        <w:t>, p. 137.</w:t>
      </w:r>
    </w:p>
  </w:footnote>
  <w:footnote w:id="21">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proofErr w:type="gramStart"/>
      <w:r w:rsidRPr="007E74B5">
        <w:rPr>
          <w:rFonts w:cstheme="minorHAnsi"/>
          <w:sz w:val="22"/>
          <w:szCs w:val="22"/>
        </w:rPr>
        <w:t xml:space="preserve">Adele </w:t>
      </w:r>
      <w:proofErr w:type="spellStart"/>
      <w:r w:rsidRPr="007E74B5">
        <w:rPr>
          <w:rFonts w:cstheme="minorHAnsi"/>
          <w:sz w:val="22"/>
          <w:szCs w:val="22"/>
        </w:rPr>
        <w:t>Perenze</w:t>
      </w:r>
      <w:proofErr w:type="spellEnd"/>
      <w:r w:rsidRPr="007E74B5">
        <w:rPr>
          <w:rFonts w:cstheme="minorHAnsi"/>
          <w:sz w:val="22"/>
          <w:szCs w:val="22"/>
        </w:rPr>
        <w:t xml:space="preserve">, </w:t>
      </w:r>
      <w:r w:rsidRPr="007E74B5">
        <w:rPr>
          <w:rFonts w:cstheme="minorHAnsi"/>
          <w:i/>
          <w:sz w:val="22"/>
          <w:szCs w:val="22"/>
        </w:rPr>
        <w:t>L’attuazione del piano di ristrutturazione</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ristrutturazione d’impresa</w:t>
      </w:r>
      <w:r w:rsidRPr="007E74B5">
        <w:rPr>
          <w:rFonts w:cstheme="minorHAnsi"/>
          <w:sz w:val="22"/>
          <w:szCs w:val="22"/>
        </w:rPr>
        <w:t>, cit. pag. 53.</w:t>
      </w:r>
      <w:proofErr w:type="gramEnd"/>
    </w:p>
  </w:footnote>
  <w:footnote w:id="22">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Ibidem</w:t>
      </w:r>
      <w:r w:rsidRPr="007E74B5">
        <w:rPr>
          <w:rFonts w:cstheme="minorHAnsi"/>
          <w:sz w:val="22"/>
          <w:szCs w:val="22"/>
        </w:rPr>
        <w:t>, pag. 54</w:t>
      </w:r>
      <w:r>
        <w:rPr>
          <w:rFonts w:cstheme="minorHAnsi"/>
          <w:sz w:val="22"/>
          <w:szCs w:val="22"/>
        </w:rPr>
        <w:t>.</w:t>
      </w:r>
    </w:p>
  </w:footnote>
  <w:footnote w:id="23">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Gazzetta Ufficiale n. 243 </w:t>
      </w:r>
      <w:proofErr w:type="gramStart"/>
      <w:r w:rsidRPr="007E74B5">
        <w:rPr>
          <w:rFonts w:cstheme="minorHAnsi"/>
          <w:sz w:val="22"/>
          <w:szCs w:val="22"/>
        </w:rPr>
        <w:t>del</w:t>
      </w:r>
      <w:proofErr w:type="gramEnd"/>
      <w:r w:rsidRPr="007E74B5">
        <w:rPr>
          <w:rFonts w:cstheme="minorHAnsi"/>
          <w:sz w:val="22"/>
          <w:szCs w:val="22"/>
        </w:rPr>
        <w:t xml:space="preserve"> 07/09/1977.</w:t>
      </w:r>
    </w:p>
  </w:footnote>
  <w:footnote w:id="24">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gramStart"/>
      <w:r w:rsidRPr="007E74B5">
        <w:rPr>
          <w:rFonts w:cstheme="minorHAnsi"/>
          <w:sz w:val="22"/>
          <w:szCs w:val="22"/>
        </w:rPr>
        <w:t xml:space="preserve">Adele </w:t>
      </w:r>
      <w:proofErr w:type="spellStart"/>
      <w:r w:rsidRPr="007E74B5">
        <w:rPr>
          <w:rFonts w:cstheme="minorHAnsi"/>
          <w:sz w:val="22"/>
          <w:szCs w:val="22"/>
        </w:rPr>
        <w:t>Perenze</w:t>
      </w:r>
      <w:proofErr w:type="spellEnd"/>
      <w:r w:rsidRPr="007E74B5">
        <w:rPr>
          <w:rFonts w:cstheme="minorHAnsi"/>
          <w:sz w:val="22"/>
          <w:szCs w:val="22"/>
        </w:rPr>
        <w:t xml:space="preserve">, </w:t>
      </w:r>
      <w:r w:rsidRPr="007E74B5">
        <w:rPr>
          <w:rFonts w:cstheme="minorHAnsi"/>
          <w:i/>
          <w:sz w:val="22"/>
          <w:szCs w:val="22"/>
        </w:rPr>
        <w:t>L’attuazione del secondo piano di ristrutturazione</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w:t>
      </w:r>
      <w:proofErr w:type="gramEnd"/>
      <w:r w:rsidRPr="007E74B5">
        <w:rPr>
          <w:rFonts w:cstheme="minorHAnsi"/>
          <w:sz w:val="22"/>
          <w:szCs w:val="22"/>
        </w:rPr>
        <w:t>p.69-72.</w:t>
      </w:r>
    </w:p>
  </w:footnote>
  <w:footnote w:id="25">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Intervento del management SME all’assemblea di bilancio </w:t>
      </w:r>
      <w:proofErr w:type="spellStart"/>
      <w:r w:rsidRPr="007E74B5">
        <w:rPr>
          <w:rFonts w:cstheme="minorHAnsi"/>
          <w:sz w:val="22"/>
          <w:szCs w:val="22"/>
        </w:rPr>
        <w:t>Sidalm</w:t>
      </w:r>
      <w:proofErr w:type="spellEnd"/>
      <w:r w:rsidRPr="007E74B5">
        <w:rPr>
          <w:rFonts w:cstheme="minorHAnsi"/>
          <w:sz w:val="22"/>
          <w:szCs w:val="22"/>
        </w:rPr>
        <w:t xml:space="preserve"> del 31.12.1984</w:t>
      </w:r>
      <w:r>
        <w:rPr>
          <w:rFonts w:cstheme="minorHAnsi"/>
          <w:sz w:val="22"/>
          <w:szCs w:val="22"/>
        </w:rPr>
        <w:t>.</w:t>
      </w:r>
    </w:p>
  </w:footnote>
  <w:footnote w:id="26">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r w:rsidRPr="007E74B5">
        <w:rPr>
          <w:rFonts w:cstheme="minorHAnsi"/>
          <w:i/>
          <w:sz w:val="22"/>
          <w:szCs w:val="22"/>
        </w:rPr>
        <w:t>Ibidem.</w:t>
      </w:r>
    </w:p>
  </w:footnote>
  <w:footnote w:id="27">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Nata prima col nome di </w:t>
      </w:r>
      <w:proofErr w:type="spellStart"/>
      <w:r w:rsidRPr="007E74B5">
        <w:rPr>
          <w:rFonts w:cstheme="minorHAnsi"/>
          <w:sz w:val="22"/>
          <w:szCs w:val="22"/>
        </w:rPr>
        <w:t>Alimont</w:t>
      </w:r>
      <w:proofErr w:type="spellEnd"/>
      <w:r w:rsidRPr="007E74B5">
        <w:rPr>
          <w:rFonts w:cstheme="minorHAnsi"/>
          <w:sz w:val="22"/>
          <w:szCs w:val="22"/>
        </w:rPr>
        <w:t xml:space="preserve">, abbreviazione di Montedison </w:t>
      </w:r>
      <w:proofErr w:type="gramStart"/>
      <w:r w:rsidRPr="007E74B5">
        <w:rPr>
          <w:rFonts w:cstheme="minorHAnsi"/>
          <w:sz w:val="22"/>
          <w:szCs w:val="22"/>
        </w:rPr>
        <w:t>Alimentari</w:t>
      </w:r>
      <w:proofErr w:type="gramEnd"/>
      <w:r w:rsidRPr="007E74B5">
        <w:rPr>
          <w:rFonts w:cstheme="minorHAnsi"/>
          <w:sz w:val="22"/>
          <w:szCs w:val="22"/>
        </w:rPr>
        <w:t xml:space="preserve">, a seguito delle fusioni delle aziende alimentari che la Montecatini e la Edison acquisirono nei primi anni Sessanta dopo gli indennizzi statali ricevuti per la nazionalizzazione dell’energia elettrica, nel 1972, e ceduta nel 1974 alla SME che cambiò il nome in </w:t>
      </w:r>
      <w:proofErr w:type="spellStart"/>
      <w:r w:rsidRPr="007E74B5">
        <w:rPr>
          <w:rFonts w:cstheme="minorHAnsi"/>
          <w:sz w:val="22"/>
          <w:szCs w:val="22"/>
        </w:rPr>
        <w:t>Alivar</w:t>
      </w:r>
      <w:proofErr w:type="spellEnd"/>
    </w:p>
  </w:footnote>
  <w:footnote w:id="28">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spellStart"/>
      <w:r w:rsidRPr="007E74B5">
        <w:rPr>
          <w:rFonts w:cstheme="minorHAnsi"/>
          <w:sz w:val="22"/>
          <w:szCs w:val="22"/>
        </w:rPr>
        <w:t>Sme-Napoli</w:t>
      </w:r>
      <w:proofErr w:type="spellEnd"/>
      <w:r w:rsidRPr="007E74B5">
        <w:rPr>
          <w:rFonts w:cstheme="minorHAnsi"/>
          <w:sz w:val="22"/>
          <w:szCs w:val="22"/>
        </w:rPr>
        <w:t xml:space="preserve">, </w:t>
      </w:r>
      <w:r w:rsidRPr="007E74B5">
        <w:rPr>
          <w:rFonts w:cstheme="minorHAnsi"/>
          <w:i/>
          <w:sz w:val="22"/>
          <w:szCs w:val="22"/>
        </w:rPr>
        <w:t xml:space="preserve">Relazioni e bilancio al 31 dicembre 1987, </w:t>
      </w:r>
      <w:r w:rsidRPr="007E74B5">
        <w:rPr>
          <w:rFonts w:cstheme="minorHAnsi"/>
          <w:sz w:val="22"/>
          <w:szCs w:val="22"/>
        </w:rPr>
        <w:t>s.l. s.d. (1988)</w:t>
      </w:r>
      <w:r>
        <w:rPr>
          <w:rFonts w:cstheme="minorHAnsi"/>
          <w:sz w:val="22"/>
          <w:szCs w:val="22"/>
        </w:rPr>
        <w:t>.</w:t>
      </w:r>
    </w:p>
  </w:footnote>
  <w:footnote w:id="29">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w:t>
      </w:r>
      <w:proofErr w:type="gramStart"/>
      <w:r w:rsidRPr="007E74B5">
        <w:rPr>
          <w:rFonts w:cstheme="minorHAnsi"/>
          <w:sz w:val="22"/>
          <w:szCs w:val="22"/>
        </w:rPr>
        <w:t xml:space="preserve">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 xml:space="preserve">Dalla nascita della </w:t>
      </w:r>
      <w:proofErr w:type="spellStart"/>
      <w:r w:rsidRPr="007E74B5">
        <w:rPr>
          <w:rFonts w:cstheme="minorHAnsi"/>
          <w:i/>
          <w:sz w:val="22"/>
          <w:szCs w:val="22"/>
        </w:rPr>
        <w:t>Sidalm</w:t>
      </w:r>
      <w:proofErr w:type="spellEnd"/>
      <w:r w:rsidRPr="007E74B5">
        <w:rPr>
          <w:rFonts w:cstheme="minorHAnsi"/>
          <w:i/>
          <w:sz w:val="22"/>
          <w:szCs w:val="22"/>
        </w:rPr>
        <w:t xml:space="preserve"> ai nostri giorni</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pag. 79.</w:t>
      </w:r>
      <w:proofErr w:type="gramEnd"/>
    </w:p>
  </w:footnote>
  <w:footnote w:id="30">
    <w:p w:rsidR="000B2C48" w:rsidRPr="007E74B5" w:rsidRDefault="000B2C48" w:rsidP="000B2C48">
      <w:pPr>
        <w:pStyle w:val="Testonotaapidipagina"/>
        <w:rPr>
          <w:rFonts w:cstheme="minorHAnsi"/>
          <w:sz w:val="22"/>
          <w:szCs w:val="22"/>
        </w:rPr>
      </w:pPr>
      <w:r w:rsidRPr="007E74B5">
        <w:rPr>
          <w:rStyle w:val="Rimandonotaapidipagina"/>
          <w:rFonts w:cstheme="minorHAnsi"/>
          <w:sz w:val="22"/>
          <w:szCs w:val="22"/>
        </w:rPr>
        <w:footnoteRef/>
      </w:r>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 xml:space="preserve">Dalla nascita della </w:t>
      </w:r>
      <w:proofErr w:type="spellStart"/>
      <w:r w:rsidRPr="007E74B5">
        <w:rPr>
          <w:rFonts w:cstheme="minorHAnsi"/>
          <w:i/>
          <w:sz w:val="22"/>
          <w:szCs w:val="22"/>
        </w:rPr>
        <w:t>Sidalm</w:t>
      </w:r>
      <w:proofErr w:type="spellEnd"/>
      <w:r w:rsidRPr="007E74B5">
        <w:rPr>
          <w:rFonts w:cstheme="minorHAnsi"/>
          <w:i/>
          <w:sz w:val="22"/>
          <w:szCs w:val="22"/>
        </w:rPr>
        <w:t xml:space="preserve"> ai nostri giorni</w:t>
      </w:r>
      <w:r w:rsidRPr="007E74B5">
        <w:rPr>
          <w:rFonts w:cstheme="minorHAnsi"/>
          <w:sz w:val="22"/>
          <w:szCs w:val="22"/>
        </w:rPr>
        <w:t xml:space="preserve">, in, Adele </w:t>
      </w:r>
      <w:proofErr w:type="spellStart"/>
      <w:r w:rsidRPr="007E74B5">
        <w:rPr>
          <w:rFonts w:cstheme="minorHAnsi"/>
          <w:sz w:val="22"/>
          <w:szCs w:val="22"/>
        </w:rPr>
        <w:t>Perenze</w:t>
      </w:r>
      <w:proofErr w:type="spellEnd"/>
      <w:r w:rsidRPr="007E74B5">
        <w:rPr>
          <w:rFonts w:cstheme="minorHAnsi"/>
          <w:sz w:val="22"/>
          <w:szCs w:val="22"/>
        </w:rPr>
        <w:t xml:space="preserve">, Lucio </w:t>
      </w:r>
      <w:proofErr w:type="spellStart"/>
      <w:r w:rsidRPr="007E74B5">
        <w:rPr>
          <w:rFonts w:cstheme="minorHAnsi"/>
          <w:sz w:val="22"/>
          <w:szCs w:val="22"/>
        </w:rPr>
        <w:t>Sicca</w:t>
      </w:r>
      <w:proofErr w:type="spellEnd"/>
      <w:r w:rsidRPr="007E74B5">
        <w:rPr>
          <w:rFonts w:cstheme="minorHAnsi"/>
          <w:sz w:val="22"/>
          <w:szCs w:val="22"/>
        </w:rPr>
        <w:t xml:space="preserve">, </w:t>
      </w:r>
      <w:r w:rsidRPr="007E74B5">
        <w:rPr>
          <w:rFonts w:cstheme="minorHAnsi"/>
          <w:i/>
          <w:sz w:val="22"/>
          <w:szCs w:val="22"/>
        </w:rPr>
        <w:t>Crisi e ristrutturazioni d’impresa</w:t>
      </w:r>
      <w:r w:rsidRPr="007E74B5">
        <w:rPr>
          <w:rFonts w:cstheme="minorHAnsi"/>
          <w:sz w:val="22"/>
          <w:szCs w:val="22"/>
        </w:rPr>
        <w:t>, cit. pp. 80-90.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2C6C"/>
    <w:multiLevelType w:val="hybridMultilevel"/>
    <w:tmpl w:val="16D8D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7D16D2E"/>
    <w:multiLevelType w:val="hybridMultilevel"/>
    <w:tmpl w:val="2F344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58187C"/>
    <w:multiLevelType w:val="hybridMultilevel"/>
    <w:tmpl w:val="36663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BF6B8D"/>
    <w:multiLevelType w:val="hybridMultilevel"/>
    <w:tmpl w:val="9766C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CF4EC4"/>
    <w:multiLevelType w:val="hybridMultilevel"/>
    <w:tmpl w:val="062E5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B20D97"/>
    <w:multiLevelType w:val="hybridMultilevel"/>
    <w:tmpl w:val="8DFC8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315908"/>
    <w:multiLevelType w:val="hybridMultilevel"/>
    <w:tmpl w:val="C576DA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DFF5134"/>
    <w:multiLevelType w:val="hybridMultilevel"/>
    <w:tmpl w:val="C594531E"/>
    <w:lvl w:ilvl="0" w:tplc="3426EA80">
      <w:start w:val="198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D1777B"/>
    <w:multiLevelType w:val="hybridMultilevel"/>
    <w:tmpl w:val="4A3A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283"/>
  <w:characterSpacingControl w:val="doNotCompress"/>
  <w:footnotePr>
    <w:footnote w:id="-1"/>
    <w:footnote w:id="0"/>
  </w:footnotePr>
  <w:endnotePr>
    <w:endnote w:id="-1"/>
    <w:endnote w:id="0"/>
  </w:endnotePr>
  <w:compat/>
  <w:rsids>
    <w:rsidRoot w:val="000B2C48"/>
    <w:rsid w:val="000B2C48"/>
    <w:rsid w:val="00283BAE"/>
    <w:rsid w:val="00B10AED"/>
    <w:rsid w:val="00C57E51"/>
    <w:rsid w:val="00D807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C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B2C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B2C48"/>
    <w:rPr>
      <w:sz w:val="20"/>
      <w:szCs w:val="20"/>
    </w:rPr>
  </w:style>
  <w:style w:type="character" w:styleId="Rimandonotaapidipagina">
    <w:name w:val="footnote reference"/>
    <w:basedOn w:val="Carpredefinitoparagrafo"/>
    <w:uiPriority w:val="99"/>
    <w:semiHidden/>
    <w:unhideWhenUsed/>
    <w:rsid w:val="000B2C48"/>
    <w:rPr>
      <w:vertAlign w:val="superscript"/>
    </w:rPr>
  </w:style>
  <w:style w:type="paragraph" w:styleId="Paragrafoelenco">
    <w:name w:val="List Paragraph"/>
    <w:basedOn w:val="Normale"/>
    <w:uiPriority w:val="34"/>
    <w:qFormat/>
    <w:rsid w:val="000B2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2011-11-23T14:21:00Z</dcterms:created>
  <dcterms:modified xsi:type="dcterms:W3CDTF">2011-11-23T15:08:00Z</dcterms:modified>
</cp:coreProperties>
</file>