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jc w:val="both"/>
        <w:rPr/>
      </w:pPr>
      <w:r>
        <w:rPr>
          <w:rStyle w:val="StrongEmphasis"/>
        </w:rPr>
        <w:t>Ciudad y fecha:</w:t>
      </w:r>
      <w:r>
        <w:rPr/>
        <w:t xml:space="preserve"> Rionegro, </w:t>
      </w:r>
      <w:r>
        <w:rPr/>
        <w:t>20</w:t>
      </w:r>
      <w:r>
        <w:rPr/>
        <w:t xml:space="preserve"> de </w:t>
      </w:r>
      <w:r>
        <w:rPr/>
        <w:t>abril</w:t>
      </w:r>
      <w:r>
        <w:rPr/>
        <w:t xml:space="preserve"> de 2026</w:t>
      </w:r>
    </w:p>
    <w:p>
      <w:pPr>
        <w:pStyle w:val="TextBody"/>
        <w:bidi w:val="0"/>
        <w:spacing w:lineRule="auto" w:line="276" w:before="0" w:after="140"/>
        <w:jc w:val="left"/>
        <w:rPr/>
      </w:pPr>
      <w:r>
        <w:rPr>
          <w:rStyle w:val="StrongEmphasis"/>
        </w:rPr>
        <w:t>Señores</w:t>
      </w:r>
      <w:r>
        <w:rPr/>
        <w:br/>
      </w:r>
      <w:r>
        <w:rPr>
          <w:rStyle w:val="StrongEmphasis"/>
        </w:rPr>
        <w:t>MINISTERIO DE EDUCACIÓN NACIONAL</w:t>
      </w:r>
      <w:r>
        <w:rPr/>
        <w:br/>
      </w:r>
      <w:r>
        <w:rPr>
          <w:rStyle w:val="StrongEmphasis"/>
        </w:rPr>
        <w:t>Subdirección de Inspección y Vigilancia</w:t>
      </w:r>
      <w:r>
        <w:rPr/>
        <w:br/>
      </w:r>
      <w:r>
        <w:rPr>
          <w:rStyle w:val="StrongEmphasis"/>
        </w:rPr>
        <w:t>Calle 43 No. 57 – 14 CAN, Bogotá D.C.</w:t>
      </w:r>
      <w:r>
        <w:rPr/>
        <w:br/>
      </w:r>
      <w:r>
        <w:rPr>
          <w:rStyle w:val="StrongEmphasis"/>
        </w:rPr>
        <w:t>E. S. D.</w:t>
      </w:r>
    </w:p>
    <w:p>
      <w:pPr>
        <w:pStyle w:val="TextBody"/>
        <w:bidi w:val="0"/>
        <w:spacing w:lineRule="auto" w:line="276" w:before="0" w:after="140"/>
        <w:jc w:val="left"/>
        <w:rPr/>
      </w:pPr>
      <w:r>
        <w:rPr>
          <w:rStyle w:val="StrongEmphasis"/>
        </w:rPr>
        <w:t>Referencia:</w:t>
      </w:r>
      <w:r>
        <w:rPr/>
        <w:t xml:space="preserve"> Adición y ampliación a la denuncia radicada bajo el No. </w:t>
      </w:r>
      <w:r>
        <w:rPr>
          <w:rStyle w:val="StrongEmphasis"/>
        </w:rPr>
        <w:t>2026-ER-0158159</w:t>
      </w:r>
      <w:r>
        <w:rPr/>
        <w:t xml:space="preserve"> del 14 de abril de 2026.</w:t>
      </w:r>
    </w:p>
    <w:p>
      <w:pPr>
        <w:pStyle w:val="TextBody"/>
        <w:bidi w:val="0"/>
        <w:spacing w:lineRule="auto" w:line="276" w:before="0" w:after="140"/>
        <w:jc w:val="left"/>
        <w:rPr/>
      </w:pPr>
      <w:r>
        <w:rPr>
          <w:rStyle w:val="StrongEmphasis"/>
        </w:rPr>
        <w:t>TATIANA PAOLA HERNÁNDEZ NIETO</w:t>
      </w:r>
      <w:r>
        <w:rPr/>
        <w:t xml:space="preserve">, mayor de edad, identificada con cédula de ciudadanía No. 43.903.488 de Bello (Antioquia), docente de carrera en propiedad regida por el Decreto Ley 1278 de 2002, actuando en nombre propio, por medio del presente escrito me permito </w:t>
      </w:r>
      <w:r>
        <w:rPr>
          <w:rStyle w:val="StrongEmphasis"/>
        </w:rPr>
        <w:t>ADICIONAR Y AMPLIAR</w:t>
      </w:r>
      <w:r>
        <w:rPr/>
        <w:t xml:space="preserve"> los hechos y solicitudes de la denuncia que presenté el 14 de abril de 2026 (radicado 2026-ER-0158159), con fundamento en los siguientes hechos sobrevinientes y nuevas pruebas documentales que aporto.</w:t>
      </w:r>
    </w:p>
    <w:p>
      <w:pPr>
        <w:pStyle w:val="HorizontalLine"/>
        <w:suppressLineNumbers/>
        <w:pBdr>
          <w:bottom w:val="double" w:sz="2" w:space="0" w:color="808080"/>
        </w:pBdr>
        <w:bidi w:val="0"/>
        <w:spacing w:before="0" w:after="283"/>
        <w:jc w:val="left"/>
        <w:rPr/>
      </w:pPr>
      <w:r>
        <w:rPr/>
      </w:r>
    </w:p>
    <w:p>
      <w:pPr>
        <w:pStyle w:val="Heading3"/>
        <w:bidi w:val="0"/>
        <w:jc w:val="left"/>
        <w:rPr/>
      </w:pPr>
      <w:r>
        <w:rPr/>
        <w:t>I. HECHOS QUE SE ADICIONAN Y AMPLÍAN</w:t>
      </w:r>
    </w:p>
    <w:p>
      <w:pPr>
        <w:pStyle w:val="TextBody"/>
        <w:bidi w:val="0"/>
        <w:spacing w:lineRule="auto" w:line="276" w:before="0" w:after="140"/>
        <w:jc w:val="left"/>
        <w:rPr/>
      </w:pPr>
      <w:r>
        <w:rPr>
          <w:rStyle w:val="StrongEmphasis"/>
        </w:rPr>
        <w:t>1. Precisión sobre mi condición de riesgo extraordinario (Resolución UNP 00006646 de 2019).</w:t>
      </w:r>
    </w:p>
    <w:p>
      <w:pPr>
        <w:pStyle w:val="TextBody"/>
        <w:bidi w:val="0"/>
        <w:spacing w:lineRule="auto" w:line="276" w:before="0" w:after="140"/>
        <w:jc w:val="left"/>
        <w:rPr/>
      </w:pPr>
      <w:r>
        <w:rPr/>
        <w:t xml:space="preserve">Mediante Resolución No. 00006646 del 12 de septiembre de 2019, la Unidad Nacional de Protección (UNP) declaró mi situación de </w:t>
      </w:r>
      <w:r>
        <w:rPr>
          <w:rStyle w:val="StrongEmphasis"/>
        </w:rPr>
        <w:t>riesgo EXTRAORDINARIO</w:t>
      </w:r>
      <w:r>
        <w:rPr/>
        <w:t xml:space="preserve"> como docente, en razón de las amenazas recibidas por grupos ilegales debido a mi labor educativa. Dicha resolución ordenó expresamente:</w:t>
      </w:r>
    </w:p>
    <w:p>
      <w:pPr>
        <w:pStyle w:val="TextBody"/>
        <w:numPr>
          <w:ilvl w:val="0"/>
          <w:numId w:val="1"/>
        </w:numPr>
        <w:tabs>
          <w:tab w:val="clear" w:pos="709"/>
          <w:tab w:val="left" w:pos="707" w:leader="none"/>
        </w:tabs>
        <w:bidi w:val="0"/>
        <w:ind w:left="707" w:hanging="283"/>
        <w:jc w:val="left"/>
        <w:rPr/>
      </w:pPr>
      <w:r>
        <w:rPr/>
        <w:t>Informar el resultado de la evaluación del riesgo a la Secretaría de Educación del Departamento de Antioquia y al Ministerio de Educación Nacional.</w:t>
      </w:r>
    </w:p>
    <w:p>
      <w:pPr>
        <w:pStyle w:val="TextBody"/>
        <w:numPr>
          <w:ilvl w:val="0"/>
          <w:numId w:val="1"/>
        </w:numPr>
        <w:tabs>
          <w:tab w:val="clear" w:pos="709"/>
          <w:tab w:val="left" w:pos="707" w:leader="none"/>
        </w:tabs>
        <w:bidi w:val="0"/>
        <w:ind w:left="707" w:hanging="283"/>
        <w:jc w:val="left"/>
        <w:rPr/>
      </w:pPr>
      <w:r>
        <w:rPr/>
        <w:t>Que la autoridad nominadora activara los protocolos de protección para docentes en riesgo conforme al Decreto 1075 de 2015.</w:t>
      </w:r>
    </w:p>
    <w:p>
      <w:pPr>
        <w:pStyle w:val="TextBody"/>
        <w:bidi w:val="0"/>
        <w:jc w:val="left"/>
        <w:rPr/>
      </w:pPr>
      <w:r>
        <w:rPr/>
        <w:t>A pesar de esta declaración de riesgo extraordinario, la Secretaría de Educación de Rionegro ha ignorado sistemáticamente su deber de protección, como se demuestra a continuación.</w:t>
      </w:r>
    </w:p>
    <w:p>
      <w:pPr>
        <w:pStyle w:val="TextBody"/>
        <w:bidi w:val="0"/>
        <w:spacing w:lineRule="auto" w:line="276" w:before="0" w:after="140"/>
        <w:jc w:val="left"/>
        <w:rPr/>
      </w:pPr>
      <w:r>
        <w:rPr>
          <w:rStyle w:val="StrongEmphasis"/>
        </w:rPr>
        <w:t>2. Tergiversación de mi solicitud de riesgo por parte de la Secretaría (Decreto 197 del 9 de abril de 2026).</w:t>
      </w:r>
    </w:p>
    <w:p>
      <w:pPr>
        <w:pStyle w:val="TextBody"/>
        <w:bidi w:val="0"/>
        <w:spacing w:lineRule="auto" w:line="276" w:before="0" w:after="140"/>
        <w:jc w:val="left"/>
        <w:rPr/>
      </w:pPr>
      <w:r>
        <w:rPr/>
        <w:t xml:space="preserve">El 9 de abril de 2026, la Secretaría de Educación de Rionegro expidió el </w:t>
      </w:r>
      <w:r>
        <w:rPr>
          <w:rStyle w:val="StrongEmphasis"/>
        </w:rPr>
        <w:t>Decreto 197</w:t>
      </w:r>
      <w:r>
        <w:rPr/>
        <w:t>, mediante el cual, en lugar de activar los protocolos de protección, tergiversó mi solicitud al afirmar que se trataba de la "persistencia de amenazas ocurridas en el año 2019" y se negó a reconocerme temporalmente como docente amenazada, violando el artículo 2.4.5.2.2.2.4 del Decreto 1075 de 2015 (que establece un plazo de tres días para dicho reconocimiento). Adjunto copia de este decreto como prueba de la mala fe de la administración.</w:t>
      </w:r>
    </w:p>
    <w:p>
      <w:pPr>
        <w:pStyle w:val="TextBody"/>
        <w:bidi w:val="0"/>
        <w:spacing w:lineRule="auto" w:line="276" w:before="0" w:after="140"/>
        <w:jc w:val="left"/>
        <w:rPr/>
      </w:pPr>
      <w:r>
        <w:rPr>
          <w:rStyle w:val="StrongEmphasis"/>
        </w:rPr>
        <w:t>3. Sentencia de tutela favorable del Juzgado Octavo de Medellín (Sentencia No. 138 del 19 de marzo de 2026).</w:t>
      </w:r>
    </w:p>
    <w:p>
      <w:pPr>
        <w:pStyle w:val="TextBody"/>
        <w:bidi w:val="0"/>
        <w:spacing w:lineRule="auto" w:line="276" w:before="0" w:after="140"/>
        <w:jc w:val="left"/>
        <w:rPr/>
      </w:pPr>
      <w:r>
        <w:rPr/>
        <w:t>El Juzgado Octavo Municipal de Pequeñas Causas Laborales de Medellín profirió sentencia a mi favor, tutelando mi derecho fundamental de petición en contra de la I.E. Josefina Muñoz González y ordenando a la rectora emitir respuesta completa y de fondo a mis peticiones. A la fecha, dicha conciliación no se ha realizado, lo que evidencia el desacato de las autoridades educativas locales.</w:t>
      </w:r>
    </w:p>
    <w:p>
      <w:pPr>
        <w:pStyle w:val="TextBody"/>
        <w:bidi w:val="0"/>
        <w:spacing w:lineRule="auto" w:line="276" w:before="0" w:after="140"/>
        <w:jc w:val="left"/>
        <w:rPr/>
      </w:pPr>
      <w:r>
        <w:rPr>
          <w:rStyle w:val="StrongEmphasis"/>
        </w:rPr>
        <w:t>4. Remisión de mis quejas disciplinarias por parte de la Procuraduría a la Personería (Auto IUS E-2026-134061 del 27 de marzo de 2026).</w:t>
      </w:r>
    </w:p>
    <w:p>
      <w:pPr>
        <w:pStyle w:val="TextBody"/>
        <w:bidi w:val="0"/>
        <w:spacing w:lineRule="auto" w:line="276" w:before="0" w:after="140"/>
        <w:jc w:val="left"/>
        <w:rPr/>
      </w:pPr>
      <w:r>
        <w:rPr/>
        <w:t>La Procuraduría Provincial de Instrucción de Rionegro, mediante auto del 27 de marzo de 2026, remitió todas mis quejas disciplinarias contra la secretaria de educación y la rectora a la Personería Municipal de Rionegro para que investigue de oficio. A la fecha, la Personería no ha iniciado las investigaciones ordenadas.</w:t>
      </w:r>
    </w:p>
    <w:p>
      <w:pPr>
        <w:pStyle w:val="TextBody"/>
        <w:bidi w:val="0"/>
        <w:spacing w:lineRule="auto" w:line="276" w:before="0" w:after="140"/>
        <w:jc w:val="left"/>
        <w:rPr/>
      </w:pPr>
      <w:r>
        <w:rPr>
          <w:rStyle w:val="StrongEmphasis"/>
        </w:rPr>
        <w:t>5. Trato discriminatorio y desviación de poder (exclusión del Consejo Académico).</w:t>
      </w:r>
    </w:p>
    <w:p>
      <w:pPr>
        <w:pStyle w:val="TextBody"/>
        <w:bidi w:val="0"/>
        <w:spacing w:lineRule="auto" w:line="276" w:before="0" w:after="140"/>
        <w:jc w:val="left"/>
        <w:rPr/>
      </w:pPr>
      <w:r>
        <w:rPr/>
        <w:t xml:space="preserve">Aporto como prueba la queja que radiqué ante la Personería de Rionegro el 21 de marzo de 2025, donde documenté que la rectora María Victoria Estrada Castañeda me ha excluido sistemáticamente del </w:t>
      </w:r>
      <w:r>
        <w:rPr>
          <w:rStyle w:val="StrongEmphasis"/>
        </w:rPr>
        <w:t>Consejo Académico</w:t>
      </w:r>
      <w:r>
        <w:rPr/>
        <w:t>, a pesar de haber sido elegida democráticamente por mis compañeros del área de matemáticas. En mi reemplazo, una docente provisional (no elegida por nadie) ha estado participando ilegítimamente en dicho órgano, lo que constituye una desviación de poder y una violación a mi derecho a la participación democrática.</w:t>
      </w:r>
    </w:p>
    <w:p>
      <w:pPr>
        <w:pStyle w:val="TextBody"/>
        <w:bidi w:val="0"/>
        <w:spacing w:lineRule="auto" w:line="276" w:before="0" w:after="140"/>
        <w:jc w:val="left"/>
        <w:rPr/>
      </w:pPr>
      <w:r>
        <w:rPr>
          <w:rStyle w:val="StrongEmphasis"/>
        </w:rPr>
        <w:t>6. Afectación a la calidad educativa: estudiantes que me acosan son aprobados sin competencias en matemáticas.</w:t>
      </w:r>
    </w:p>
    <w:p>
      <w:pPr>
        <w:pStyle w:val="TextBody"/>
        <w:bidi w:val="0"/>
        <w:spacing w:lineRule="auto" w:line="276" w:before="0" w:after="140"/>
        <w:jc w:val="left"/>
        <w:rPr/>
      </w:pPr>
      <w:r>
        <w:rPr/>
        <w:t>Como lo he denunciado ante la Personería, estudiantes que han participado en la difamación sistemática en mi contra han sido aprobados sin adquirir las competencias mínimas en el área de matemáticas, vulnerando los estándares del Decreto 1290 de 2009 y el derecho fundamental a la educación de calidad de todos los estudiantes (artículo 67 de la Constitución).</w:t>
      </w:r>
    </w:p>
    <w:p>
      <w:pPr>
        <w:pStyle w:val="HorizontalLine"/>
        <w:suppressLineNumbers/>
        <w:pBdr>
          <w:bottom w:val="double" w:sz="2" w:space="0" w:color="808080"/>
        </w:pBdr>
        <w:bidi w:val="0"/>
        <w:spacing w:before="0" w:after="283"/>
        <w:jc w:val="left"/>
        <w:rPr/>
      </w:pPr>
      <w:r>
        <w:rPr/>
      </w:r>
    </w:p>
    <w:p>
      <w:pPr>
        <w:pStyle w:val="Heading3"/>
        <w:bidi w:val="0"/>
        <w:jc w:val="left"/>
        <w:rPr/>
      </w:pPr>
      <w:r>
        <w:rPr/>
        <w:t>II. NUEVAS PRUEBAS DOCUMENTALES QUE APORTO</w:t>
      </w:r>
    </w:p>
    <w:p>
      <w:pPr>
        <w:pStyle w:val="TextBody"/>
        <w:bidi w:val="0"/>
        <w:spacing w:lineRule="auto" w:line="276" w:before="0" w:after="140"/>
        <w:jc w:val="left"/>
        <w:rPr/>
      </w:pPr>
      <w:r>
        <w:rPr/>
        <w:t>Adjunto a este escrito complementario los siguientes documentos:</w:t>
      </w:r>
    </w:p>
    <w:p>
      <w:pPr>
        <w:pStyle w:val="TextBody"/>
        <w:numPr>
          <w:ilvl w:val="0"/>
          <w:numId w:val="2"/>
        </w:numPr>
        <w:tabs>
          <w:tab w:val="clear" w:pos="709"/>
          <w:tab w:val="left" w:pos="707" w:leader="none"/>
        </w:tabs>
        <w:bidi w:val="0"/>
        <w:ind w:left="707" w:hanging="283"/>
        <w:jc w:val="left"/>
        <w:rPr/>
      </w:pPr>
      <w:r>
        <w:rPr>
          <w:rStyle w:val="StrongEmphasis"/>
        </w:rPr>
        <w:t>Resolución UNP 00006646 de 2019</w:t>
      </w:r>
      <w:r>
        <w:rPr/>
        <w:t xml:space="preserve"> (riesgo extraordinario).</w:t>
      </w:r>
    </w:p>
    <w:p>
      <w:pPr>
        <w:pStyle w:val="TextBody"/>
        <w:numPr>
          <w:ilvl w:val="0"/>
          <w:numId w:val="2"/>
        </w:numPr>
        <w:tabs>
          <w:tab w:val="clear" w:pos="709"/>
          <w:tab w:val="left" w:pos="707" w:leader="none"/>
        </w:tabs>
        <w:bidi w:val="0"/>
        <w:ind w:left="707" w:hanging="283"/>
        <w:jc w:val="left"/>
        <w:rPr/>
      </w:pPr>
      <w:r>
        <w:rPr>
          <w:rStyle w:val="StrongEmphasis"/>
        </w:rPr>
        <w:t>Decreto 197 del 9 de abril de 2026</w:t>
      </w:r>
      <w:r>
        <w:rPr/>
        <w:t xml:space="preserve"> (tergiversación de mi solicitud de riesgo).</w:t>
      </w:r>
    </w:p>
    <w:p>
      <w:pPr>
        <w:pStyle w:val="TextBody"/>
        <w:numPr>
          <w:ilvl w:val="0"/>
          <w:numId w:val="2"/>
        </w:numPr>
        <w:tabs>
          <w:tab w:val="clear" w:pos="709"/>
          <w:tab w:val="left" w:pos="707" w:leader="none"/>
        </w:tabs>
        <w:bidi w:val="0"/>
        <w:ind w:left="707" w:hanging="283"/>
        <w:jc w:val="left"/>
        <w:rPr/>
      </w:pPr>
      <w:r>
        <w:rPr>
          <w:rStyle w:val="StrongEmphasis"/>
        </w:rPr>
        <w:t>Sentencia No. 138 del 19 de marzo de 2026</w:t>
      </w:r>
      <w:r>
        <w:rPr/>
        <w:t xml:space="preserve"> del Juzgado Octavo de Medellín.</w:t>
      </w:r>
    </w:p>
    <w:p>
      <w:pPr>
        <w:pStyle w:val="TextBody"/>
        <w:numPr>
          <w:ilvl w:val="0"/>
          <w:numId w:val="2"/>
        </w:numPr>
        <w:tabs>
          <w:tab w:val="clear" w:pos="709"/>
          <w:tab w:val="left" w:pos="707" w:leader="none"/>
        </w:tabs>
        <w:bidi w:val="0"/>
        <w:ind w:left="707" w:hanging="283"/>
        <w:jc w:val="left"/>
        <w:rPr/>
      </w:pPr>
      <w:r>
        <w:rPr>
          <w:rStyle w:val="StrongEmphasis"/>
        </w:rPr>
        <w:t>Auto IUS E-2026-134061 del 27 de marzo de 2026</w:t>
      </w:r>
      <w:r>
        <w:rPr/>
        <w:t xml:space="preserve"> de la Procuraduría Provincial.</w:t>
      </w:r>
    </w:p>
    <w:p>
      <w:pPr>
        <w:pStyle w:val="TextBody"/>
        <w:numPr>
          <w:ilvl w:val="0"/>
          <w:numId w:val="2"/>
        </w:numPr>
        <w:tabs>
          <w:tab w:val="clear" w:pos="709"/>
          <w:tab w:val="left" w:pos="707" w:leader="none"/>
        </w:tabs>
        <w:bidi w:val="0"/>
        <w:ind w:left="707" w:hanging="283"/>
        <w:jc w:val="left"/>
        <w:rPr/>
      </w:pPr>
      <w:r>
        <w:rPr>
          <w:rStyle w:val="StrongEmphasis"/>
        </w:rPr>
        <w:t>Queja ante la Personería de Rionegro del 21 de marzo de 2025</w:t>
      </w:r>
      <w:r>
        <w:rPr/>
        <w:t xml:space="preserve"> (contra la rectora).</w:t>
      </w:r>
    </w:p>
    <w:p>
      <w:pPr>
        <w:pStyle w:val="TextBody"/>
        <w:numPr>
          <w:ilvl w:val="0"/>
          <w:numId w:val="2"/>
        </w:numPr>
        <w:tabs>
          <w:tab w:val="clear" w:pos="709"/>
          <w:tab w:val="left" w:pos="707" w:leader="none"/>
        </w:tabs>
        <w:bidi w:val="0"/>
        <w:ind w:left="707" w:hanging="283"/>
        <w:jc w:val="left"/>
        <w:rPr/>
      </w:pPr>
      <w:r>
        <w:rPr>
          <w:rStyle w:val="StrongEmphasis"/>
        </w:rPr>
        <w:t>Decreto 107 del 17 de febrero de 2026</w:t>
      </w:r>
      <w:r>
        <w:rPr/>
        <w:t xml:space="preserve"> (traslado arbitrario).</w:t>
      </w:r>
    </w:p>
    <w:p>
      <w:pPr>
        <w:pStyle w:val="TextBody"/>
        <w:numPr>
          <w:ilvl w:val="0"/>
          <w:numId w:val="2"/>
        </w:numPr>
        <w:tabs>
          <w:tab w:val="clear" w:pos="709"/>
          <w:tab w:val="left" w:pos="707" w:leader="none"/>
        </w:tabs>
        <w:bidi w:val="0"/>
        <w:ind w:left="707" w:hanging="283"/>
        <w:jc w:val="left"/>
        <w:rPr/>
      </w:pPr>
      <w:r>
        <w:rPr>
          <w:rStyle w:val="StrongEmphasis"/>
        </w:rPr>
        <w:t>Respuesta de la Oficina de Control Interno Disciplinario</w:t>
      </w:r>
      <w:r>
        <w:rPr/>
        <w:t xml:space="preserve"> (13 de abril de 2026, donde consta el expediente 014-2026Q abierto en retaliación).</w:t>
      </w:r>
    </w:p>
    <w:p>
      <w:pPr>
        <w:pStyle w:val="HorizontalLine"/>
        <w:bidi w:val="0"/>
        <w:jc w:val="left"/>
        <w:rPr/>
      </w:pPr>
      <w:r>
        <w:rPr/>
      </w:r>
    </w:p>
    <w:p>
      <w:pPr>
        <w:pStyle w:val="Heading3"/>
        <w:bidi w:val="0"/>
        <w:jc w:val="left"/>
        <w:rPr/>
      </w:pPr>
      <w:r>
        <w:rPr/>
        <w:t>III. SOLICITUDES CONCRETAS (ADICIÓN Y AMPLIACIÓN)</w:t>
      </w:r>
    </w:p>
    <w:p>
      <w:pPr>
        <w:pStyle w:val="TextBody"/>
        <w:bidi w:val="0"/>
        <w:spacing w:lineRule="auto" w:line="276" w:before="0" w:after="140"/>
        <w:jc w:val="left"/>
        <w:rPr/>
      </w:pPr>
      <w:r>
        <w:rPr/>
        <w:t>Con fundamento en los hechos y pruebas aquí expuestos, solicito al Ministerio de Educación Nacional que, en el marco de la inspección y vigilancia que debe ejercer sobre la Secretaría de Educación de Rionegro (artículo 67 de la Constitución y Ley 715 de 2001), se sirva:</w:t>
      </w:r>
    </w:p>
    <w:p>
      <w:pPr>
        <w:pStyle w:val="TextBody"/>
        <w:bidi w:val="0"/>
        <w:spacing w:lineRule="auto" w:line="276" w:before="0" w:after="140"/>
        <w:jc w:val="left"/>
        <w:rPr/>
      </w:pPr>
      <w:r>
        <w:rPr>
          <w:rStyle w:val="StrongEmphasis"/>
        </w:rPr>
        <w:t>PRIMERA:</w:t>
      </w:r>
      <w:r>
        <w:rPr/>
        <w:t xml:space="preserve"> Requerir a la Secretaría de Educación de Rionegro un informe detallado sobre el cumplimiento del artículo 2.4.5.2.2.2.4 del Decreto 1075 de 2015, que establece el deber de reconocer temporalmente como docente amenazada a quien acredite su condición de riesgo, y explicar por qué se expidió el Decreto 197 del 9 de abril de 2026 tergiversando mi solicitud.</w:t>
      </w:r>
    </w:p>
    <w:p>
      <w:pPr>
        <w:pStyle w:val="TextBody"/>
        <w:bidi w:val="0"/>
        <w:spacing w:lineRule="auto" w:line="276" w:before="0" w:after="140"/>
        <w:jc w:val="left"/>
        <w:rPr/>
      </w:pPr>
      <w:r>
        <w:rPr>
          <w:rStyle w:val="StrongEmphasis"/>
        </w:rPr>
        <w:t>SEGUNDA:</w:t>
      </w:r>
      <w:r>
        <w:rPr/>
        <w:t xml:space="preserve"> Evaluar la conducta de la Secretaría de Educación de Rionegro y de la rectora María Victoria Estrada Castañeda a la luz de la Ley 1620 de 2013 (sistema de convivencia escolar), la Ley 1752 de 2015 (antidiscriminación) y el Decreto Ley 1278 de 2002 (estatuto docente), y de encontrar méritos, solicitar a la Procuraduría General de la Nación que ejerza su poder disciplinario preferente.</w:t>
      </w:r>
    </w:p>
    <w:p>
      <w:pPr>
        <w:pStyle w:val="TextBody"/>
        <w:bidi w:val="0"/>
        <w:spacing w:lineRule="auto" w:line="276" w:before="0" w:after="140"/>
        <w:jc w:val="left"/>
        <w:rPr/>
      </w:pPr>
      <w:r>
        <w:rPr>
          <w:rStyle w:val="StrongEmphasis"/>
        </w:rPr>
        <w:t>TERCERA:</w:t>
      </w:r>
      <w:r>
        <w:rPr/>
        <w:t xml:space="preserve"> Verificar si la Secretaría de Educación de Rionegro ha dado cumplimiento a la Resolución UNP 00006646 de 2019, que ordena expresamente informar al Ministerio de Educación Nacional sobre mi condición de riesgo extraordinario.</w:t>
      </w:r>
    </w:p>
    <w:p>
      <w:pPr>
        <w:pStyle w:val="TextBody"/>
        <w:bidi w:val="0"/>
        <w:spacing w:lineRule="auto" w:line="276" w:before="0" w:after="140"/>
        <w:jc w:val="left"/>
        <w:rPr/>
      </w:pPr>
      <w:r>
        <w:rPr>
          <w:rStyle w:val="StrongEmphasis"/>
        </w:rPr>
        <w:t>CUARTA:</w:t>
      </w:r>
      <w:r>
        <w:rPr/>
        <w:t xml:space="preserve"> Ordenar a la Secretaría de Educación de Rionegro que, en el término de cuarenta y ocho (48) horas, me reintegre a la I.E. Josefina Muñoz González con la asignación académica completa en el área de matemáticas, conforme a mi nombramiento en propiedad.</w:t>
      </w:r>
    </w:p>
    <w:p>
      <w:pPr>
        <w:pStyle w:val="TextBody"/>
        <w:bidi w:val="0"/>
        <w:spacing w:lineRule="auto" w:line="276" w:before="0" w:after="140"/>
        <w:jc w:val="left"/>
        <w:rPr/>
      </w:pPr>
      <w:r>
        <w:rPr>
          <w:rStyle w:val="StrongEmphasis"/>
        </w:rPr>
        <w:t>QUINTA:</w:t>
      </w:r>
      <w:r>
        <w:rPr/>
        <w:t xml:space="preserve"> Notificarme todas las decisiones y actuaciones que se deriven del presente escrito, en mi condición de peticionaria.</w:t>
      </w:r>
    </w:p>
    <w:p>
      <w:pPr>
        <w:pStyle w:val="HorizontalLine"/>
        <w:suppressLineNumbers/>
        <w:pBdr>
          <w:bottom w:val="double" w:sz="2" w:space="0" w:color="808080"/>
        </w:pBdr>
        <w:bidi w:val="0"/>
        <w:spacing w:before="0" w:after="283"/>
        <w:jc w:val="left"/>
        <w:rPr/>
      </w:pPr>
      <w:r>
        <w:rPr/>
      </w:r>
    </w:p>
    <w:p>
      <w:pPr>
        <w:pStyle w:val="Heading3"/>
        <w:bidi w:val="0"/>
        <w:jc w:val="left"/>
        <w:rPr/>
      </w:pPr>
      <w:r>
        <w:rPr/>
        <w:t>IV. ANEXOS</w:t>
      </w:r>
    </w:p>
    <w:p>
      <w:pPr>
        <w:pStyle w:val="TextBody"/>
        <w:numPr>
          <w:ilvl w:val="0"/>
          <w:numId w:val="3"/>
        </w:numPr>
        <w:tabs>
          <w:tab w:val="clear" w:pos="709"/>
          <w:tab w:val="left" w:pos="707" w:leader="none"/>
        </w:tabs>
        <w:bidi w:val="0"/>
        <w:ind w:left="707" w:hanging="283"/>
        <w:jc w:val="left"/>
        <w:rPr/>
      </w:pPr>
      <w:r>
        <w:rPr/>
        <w:t>Los 7 documentos listados en el punto II.</w:t>
      </w:r>
    </w:p>
    <w:p>
      <w:pPr>
        <w:pStyle w:val="HorizontalLine"/>
        <w:bidi w:val="0"/>
        <w:jc w:val="left"/>
        <w:rPr/>
      </w:pPr>
      <w:r>
        <w:rPr/>
      </w:r>
    </w:p>
    <w:p>
      <w:pPr>
        <w:pStyle w:val="TextBody"/>
        <w:bidi w:val="0"/>
        <w:jc w:val="left"/>
        <w:rPr>
          <w:rStyle w:val="StrongEmphasis"/>
        </w:rPr>
      </w:pPr>
      <w:r>
        <w:rPr/>
      </w:r>
    </w:p>
    <w:p>
      <w:pPr>
        <w:pStyle w:val="TextBody"/>
        <w:bidi w:val="0"/>
        <w:jc w:val="both"/>
        <w:rPr/>
      </w:pPr>
      <w:r>
        <w:rPr>
          <w:rStyle w:val="StrongEmphasis"/>
        </w:rPr>
        <w:t>Atentamente,</w:t>
      </w:r>
    </w:p>
    <w:p>
      <w:pPr>
        <w:pStyle w:val="Normal"/>
        <w:bidi w:val="0"/>
        <w:spacing w:lineRule="auto" w:line="240"/>
        <w:jc w:val="both"/>
        <w:rPr/>
      </w:pPr>
      <w:r>
        <w:rPr/>
      </w:r>
    </w:p>
    <w:p>
      <w:pPr>
        <w:pStyle w:val="TextBody"/>
        <w:bidi w:val="0"/>
        <w:spacing w:lineRule="auto" w:line="240" w:before="0" w:after="0"/>
        <w:ind w:left="660" w:right="660" w:hanging="0"/>
        <w:jc w:val="both"/>
        <w:rPr/>
      </w:pPr>
      <w:r>
        <w:rPr/>
        <w:drawing>
          <wp:inline distT="0" distB="0" distL="0" distR="0">
            <wp:extent cx="2534920" cy="679450"/>
            <wp:effectExtent l="0" t="0" r="0" b="0"/>
            <wp:docPr id="1"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descr=""/>
                    <pic:cNvPicPr>
                      <a:picLocks noChangeAspect="1" noChangeArrowheads="1"/>
                    </pic:cNvPicPr>
                  </pic:nvPicPr>
                  <pic:blipFill>
                    <a:blip r:embed="rId2"/>
                    <a:srcRect l="-14" t="-55" r="-14" b="-55"/>
                    <a:stretch>
                      <a:fillRect/>
                    </a:stretch>
                  </pic:blipFill>
                  <pic:spPr bwMode="auto">
                    <a:xfrm>
                      <a:off x="0" y="0"/>
                      <a:ext cx="2534920" cy="679450"/>
                    </a:xfrm>
                    <a:prstGeom prst="rect">
                      <a:avLst/>
                    </a:prstGeom>
                  </pic:spPr>
                </pic:pic>
              </a:graphicData>
            </a:graphic>
          </wp:inline>
        </w:drawing>
      </w:r>
    </w:p>
    <w:p>
      <w:pPr>
        <w:pStyle w:val="TextBody"/>
        <w:bidi w:val="0"/>
        <w:jc w:val="both"/>
        <w:rPr/>
      </w:pPr>
      <w:r>
        <w:rPr/>
        <w:t>Docente de matemáticas</w:t>
      </w:r>
    </w:p>
    <w:p>
      <w:pPr>
        <w:pStyle w:val="TextBody"/>
        <w:bidi w:val="0"/>
        <w:jc w:val="both"/>
        <w:rPr/>
      </w:pPr>
      <w:r>
        <w:rPr/>
        <w:t xml:space="preserve">Correo electrónico: </w:t>
      </w:r>
      <w:hyperlink r:id="rId3">
        <w:r>
          <w:rPr>
            <w:rStyle w:val="InternetLink"/>
          </w:rPr>
          <w:t>lacuerpa@riseup.net</w:t>
        </w:r>
      </w:hyperlink>
    </w:p>
    <w:p>
      <w:pPr>
        <w:pStyle w:val="TextBody"/>
        <w:bidi w:val="0"/>
        <w:jc w:val="both"/>
        <w:rPr/>
      </w:pPr>
      <w:r>
        <w:rPr/>
        <w:t xml:space="preserve">Dirección: </w:t>
      </w:r>
      <w:r>
        <w:rPr/>
        <w:t>Carrera 39a #56-50</w:t>
      </w:r>
    </w:p>
    <w:p>
      <w:pPr>
        <w:pStyle w:val="TextBody"/>
        <w:bidi w:val="0"/>
        <w:jc w:val="both"/>
        <w:rPr/>
      </w:pPr>
      <w:r>
        <w:rPr/>
        <w:t xml:space="preserve">Teléfono: </w:t>
      </w:r>
      <w:r>
        <w:rPr/>
        <w:t>3336045470</w:t>
      </w:r>
    </w:p>
    <w:p>
      <w:pPr>
        <w:pStyle w:val="TextBody"/>
        <w:bidi w:val="0"/>
        <w:jc w:val="both"/>
        <w:rPr/>
      </w:pPr>
      <w:r>
        <w:rPr/>
        <w:t>Whatsapp: 3007835088</w:t>
      </w:r>
    </w:p>
    <w:p>
      <w:pPr>
        <w:pStyle w:val="Normal"/>
        <w:bidi w:val="0"/>
        <w:jc w:val="both"/>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s-CO"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s-CO" w:eastAsia="zh-CN" w:bidi="hi-IN"/>
    </w:rPr>
  </w:style>
  <w:style w:type="paragraph" w:styleId="Heading3">
    <w:name w:val="Heading 3"/>
    <w:basedOn w:val="Heading"/>
    <w:next w:val="TextBody"/>
    <w:qFormat/>
    <w:pPr>
      <w:spacing w:before="140" w:after="120"/>
      <w:outlineLvl w:val="2"/>
    </w:pPr>
    <w:rPr>
      <w:rFonts w:ascii="Liberation Serif" w:hAnsi="Liberation Serif" w:eastAsia="Noto Serif CJK SC" w:cs="Noto Sans Devanagari"/>
      <w:b/>
      <w:bCs/>
      <w:sz w:val="28"/>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Emphasis">
    <w:name w:val="Emphasis"/>
    <w:qFormat/>
    <w:rPr>
      <w:i/>
      <w:iCs/>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lacuerpa@riseup.ne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LibreOffice/7.0.4.2$Linux_X86_64 LibreOffice_project/00$Build-2</Application>
  <AppVersion>15.0000</AppVersion>
  <Pages>3</Pages>
  <Words>1092</Words>
  <Characters>5819</Characters>
  <CharactersWithSpaces>6858</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2026-04-20T20:03:50Z</dcterms:created>
  <dc:creator/>
  <dc:description/>
  <dc:language>es-CO</dc:language>
  <cp:lastModifiedBy/>
  <dcterms:modified xsi:type="dcterms:W3CDTF">2026-04-20T20:15:51Z</dcterms:modified>
  <cp:revision>1</cp:revision>
  <dc:subject/>
  <dc:title/>
</cp:coreProperties>
</file>