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40"/>
        <w:jc w:val="center"/>
        <w:rPr>
          <w:rFonts w:ascii="Arial" w:hAnsi="Arial" w:cs="Arial"/>
          <w:sz w:val="24"/>
          <w:szCs w:val="24"/>
          <w:lang w:val="es-CO"/>
        </w:rPr>
      </w:pPr>
      <w:r>
        <w:rPr>
          <w:rFonts w:cs="Arial" w:ascii="Arial" w:hAnsi="Arial"/>
          <w:b/>
          <w:sz w:val="24"/>
          <w:szCs w:val="24"/>
          <w:lang w:val="es-CO"/>
        </w:rPr>
        <w:t>RECUSACIÓN DE EVALUADORA</w:t>
      </w:r>
    </w:p>
    <w:p>
      <w:pPr>
        <w:pStyle w:val="Normal"/>
        <w:spacing w:before="0" w:after="40"/>
        <w:jc w:val="center"/>
        <w:rPr>
          <w:rFonts w:ascii="Arial" w:hAnsi="Arial" w:cs="Arial"/>
          <w:sz w:val="24"/>
          <w:szCs w:val="24"/>
          <w:lang w:val="es-CO"/>
        </w:rPr>
      </w:pPr>
      <w:r>
        <w:rPr>
          <w:rFonts w:cs="Arial" w:ascii="Arial" w:hAnsi="Arial"/>
          <w:b/>
          <w:sz w:val="24"/>
          <w:szCs w:val="24"/>
          <w:lang w:val="es-CO"/>
        </w:rPr>
        <w:t>Evaluación Anual de Desempeño Laboral · Vigencia 2025</w:t>
      </w:r>
    </w:p>
    <w:p>
      <w:pPr>
        <w:pStyle w:val="Normal"/>
        <w:spacing w:before="0" w:after="240"/>
        <w:jc w:val="center"/>
        <w:rPr>
          <w:rFonts w:ascii="Arial" w:hAnsi="Arial" w:cs="Arial"/>
          <w:sz w:val="24"/>
          <w:szCs w:val="24"/>
          <w:lang w:val="es-CO"/>
        </w:rPr>
      </w:pPr>
      <w:r>
        <w:rPr>
          <w:rFonts w:cs="Arial" w:ascii="Arial" w:hAnsi="Arial"/>
          <w:i/>
          <w:sz w:val="24"/>
          <w:szCs w:val="24"/>
          <w:lang w:val="es-CO"/>
        </w:rPr>
        <w:t>Docente regida por el Decreto Ley 1278 de 2002</w:t>
      </w:r>
    </w:p>
    <w:p>
      <w:pPr>
        <w:pStyle w:val="Normal"/>
        <w:spacing w:before="0" w:after="40"/>
        <w:rPr>
          <w:rFonts w:ascii="Arial" w:hAnsi="Arial" w:cs="Arial"/>
          <w:sz w:val="24"/>
          <w:szCs w:val="24"/>
          <w:lang w:val="es-CO"/>
        </w:rPr>
      </w:pPr>
      <w:r>
        <w:rPr>
          <w:rFonts w:cs="Arial" w:ascii="Arial" w:hAnsi="Arial"/>
          <w:b/>
          <w:sz w:val="24"/>
          <w:szCs w:val="24"/>
          <w:lang w:val="es-CO"/>
        </w:rPr>
        <w:t>SEÑOR(A) SECRETARIO(A) DE EDUCACIÓN DE RIONEGRO</w:t>
      </w:r>
    </w:p>
    <w:p>
      <w:pPr>
        <w:pStyle w:val="Normal"/>
        <w:spacing w:before="0" w:after="20"/>
        <w:rPr>
          <w:rFonts w:ascii="Arial" w:hAnsi="Arial" w:cs="Arial"/>
          <w:sz w:val="24"/>
          <w:szCs w:val="24"/>
          <w:lang w:val="es-CO"/>
        </w:rPr>
      </w:pPr>
      <w:r>
        <w:rPr>
          <w:rFonts w:cs="Arial" w:ascii="Arial" w:hAnsi="Arial"/>
          <w:i/>
          <w:sz w:val="24"/>
          <w:szCs w:val="24"/>
          <w:lang w:val="es-CO"/>
        </w:rPr>
        <w:t>Para decisión por el superior jerárquico competente de la evaluadora</w:t>
      </w:r>
    </w:p>
    <w:p>
      <w:pPr>
        <w:pStyle w:val="Normal"/>
        <w:spacing w:before="0" w:after="200"/>
        <w:rPr>
          <w:rFonts w:ascii="Arial" w:hAnsi="Arial" w:cs="Arial"/>
          <w:sz w:val="24"/>
          <w:szCs w:val="24"/>
          <w:lang w:val="es-CO"/>
        </w:rPr>
      </w:pPr>
      <w:r>
        <w:rPr>
          <w:rFonts w:cs="Arial" w:ascii="Arial" w:hAnsi="Arial"/>
          <w:sz w:val="24"/>
          <w:szCs w:val="24"/>
          <w:lang w:val="es-CO"/>
        </w:rPr>
        <w:t>Rionegro, Antioquia</w:t>
      </w:r>
    </w:p>
    <w:tbl>
      <w:tblPr>
        <w:tblStyle w:val="Tablanormal1"/>
        <w:tblW w:w="1008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40"/>
        <w:gridCol w:w="5039"/>
      </w:tblGrid>
      <w:tr>
        <w:trPr>
          <w:cnfStyle w:val="100000000000" w:firstRow="1" w:lastRow="0" w:firstColumn="0" w:lastColumn="0" w:oddVBand="0" w:evenVBand="0" w:oddHBand="0" w:evenHBand="0" w:firstRowFirstColumn="0" w:firstRowLastColumn="0" w:lastRowFirstColumn="0" w:lastRowLastColumn="0"/>
        </w:trPr>
        <w:tc>
          <w:tcPr>
            <w:tcW w:w="5040" w:type="dxa"/>
            <w:cnfStyle w:val="001000000000" w:firstRow="0" w:lastRow="0" w:firstColumn="1" w:lastColumn="0" w:oddVBand="0" w:evenVBand="0" w:oddHBand="0" w:evenHBand="0" w:firstRowFirstColumn="0" w:firstRowLastColumn="0" w:lastRowFirstColumn="0" w:lastRowLastColumn="0"/>
            <w:tcBorders/>
          </w:tcPr>
          <w:p>
            <w:pPr>
              <w:pStyle w:val="Normal"/>
              <w:keepLines/>
              <w:widowControl/>
              <w:spacing w:before="0" w:after="80"/>
              <w:jc w:val="left"/>
              <w:rPr>
                <w:rFonts w:ascii="Arial" w:hAnsi="Arial" w:cs="Arial"/>
                <w:sz w:val="24"/>
                <w:szCs w:val="24"/>
                <w:lang w:val="es-CO"/>
              </w:rPr>
            </w:pPr>
            <w:r>
              <w:rPr>
                <w:rFonts w:eastAsia="ＭＳ 明朝" w:cs="Arial" w:ascii="Arial" w:hAnsi="Arial"/>
                <w:b/>
                <w:bCs/>
                <w:kern w:val="0"/>
                <w:sz w:val="24"/>
                <w:szCs w:val="24"/>
                <w:lang w:val="es-CO" w:eastAsia="en-US" w:bidi="ar-SA"/>
              </w:rPr>
              <w:t>Recusante</w:t>
            </w:r>
          </w:p>
        </w:tc>
        <w:tc>
          <w:tcPr>
            <w:tcW w:w="5039" w:type="dxa"/>
            <w:tcBorders/>
          </w:tcPr>
          <w:p>
            <w:pPr>
              <w:pStyle w:val="Normal"/>
              <w:keepLines/>
              <w:widowControl/>
              <w:spacing w:before="0" w:after="80"/>
              <w:jc w:val="left"/>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CO"/>
              </w:rPr>
            </w:pPr>
            <w:r>
              <w:rPr>
                <w:rFonts w:eastAsia="ＭＳ 明朝" w:cs="Arial" w:ascii="Arial" w:hAnsi="Arial"/>
                <w:b/>
                <w:bCs/>
                <w:kern w:val="0"/>
                <w:sz w:val="24"/>
                <w:szCs w:val="24"/>
                <w:lang w:val="es-CO" w:eastAsia="en-US" w:bidi="ar-SA"/>
              </w:rPr>
              <w:t>Tatiana Paola Hernández Nieto</w:t>
            </w:r>
          </w:p>
        </w:tc>
      </w:tr>
      <w:tr>
        <w:trPr>
          <w:cnfStyle w:val="000000100000" w:firstRow="0" w:lastRow="0" w:firstColumn="0" w:lastColumn="0" w:oddVBand="0" w:evenVBand="0" w:oddHBand="1" w:evenHBand="0" w:firstRowFirstColumn="0" w:firstRowLastColumn="0" w:lastRowFirstColumn="0" w:lastRowLastColumn="0"/>
        </w:trPr>
        <w:tc>
          <w:tcPr>
            <w:tcW w:w="5040" w:type="dxa"/>
            <w:cnfStyle w:val="001000000000" w:firstRow="0" w:lastRow="0" w:firstColumn="1" w:lastColumn="0" w:oddVBand="0" w:evenVBand="0" w:oddHBand="0" w:evenHBand="0" w:firstRowFirstColumn="0" w:firstRowLastColumn="0" w:lastRowFirstColumn="0" w:lastRowLastColumn="0"/>
            <w:tcBorders/>
            <w:shd w:color="auto" w:fill="F2F2F2" w:themeFill="background1" w:themeFillShade="f2" w:val="clear"/>
          </w:tcPr>
          <w:p>
            <w:pPr>
              <w:pStyle w:val="Normal"/>
              <w:keepLines/>
              <w:widowControl/>
              <w:spacing w:before="0" w:after="80"/>
              <w:jc w:val="left"/>
              <w:rPr>
                <w:rFonts w:ascii="Arial" w:hAnsi="Arial" w:cs="Arial"/>
                <w:sz w:val="24"/>
                <w:szCs w:val="24"/>
                <w:lang w:val="es-CO"/>
              </w:rPr>
            </w:pPr>
            <w:r>
              <w:rPr>
                <w:rFonts w:eastAsia="ＭＳ 明朝" w:cs="Arial" w:ascii="Arial" w:hAnsi="Arial"/>
                <w:b/>
                <w:bCs/>
                <w:kern w:val="0"/>
                <w:sz w:val="24"/>
                <w:szCs w:val="24"/>
                <w:lang w:val="es-CO" w:eastAsia="en-US" w:bidi="ar-SA"/>
              </w:rPr>
              <w:t>Identificación</w:t>
            </w:r>
          </w:p>
        </w:tc>
        <w:tc>
          <w:tcPr>
            <w:tcW w:w="5039" w:type="dxa"/>
            <w:tcBorders/>
            <w:shd w:color="auto" w:fill="F2F2F2" w:themeFill="background1" w:themeFillShade="f2" w:val="clear"/>
          </w:tcPr>
          <w:p>
            <w:pPr>
              <w:pStyle w:val="Normal"/>
              <w:keepLines/>
              <w:widowControl/>
              <w:spacing w:before="0" w:after="80"/>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CO"/>
              </w:rPr>
            </w:pPr>
            <w:r>
              <w:rPr>
                <w:rFonts w:eastAsia="ＭＳ 明朝" w:cs="Arial" w:ascii="Arial" w:hAnsi="Arial"/>
                <w:kern w:val="0"/>
                <w:sz w:val="24"/>
                <w:szCs w:val="24"/>
                <w:lang w:val="es-CO" w:eastAsia="en-US" w:bidi="ar-SA"/>
              </w:rPr>
              <w:t>C.C. 43.903.488 de Bello (Antioquia)</w:t>
            </w:r>
          </w:p>
        </w:tc>
      </w:tr>
      <w:tr>
        <w:trPr/>
        <w:tc>
          <w:tcPr>
            <w:tcW w:w="5040" w:type="dxa"/>
            <w:cnfStyle w:val="001000000000" w:firstRow="0" w:lastRow="0" w:firstColumn="1" w:lastColumn="0" w:oddVBand="0" w:evenVBand="0" w:oddHBand="0" w:evenHBand="0" w:firstRowFirstColumn="0" w:firstRowLastColumn="0" w:lastRowFirstColumn="0" w:lastRowLastColumn="0"/>
            <w:tcBorders/>
          </w:tcPr>
          <w:p>
            <w:pPr>
              <w:pStyle w:val="Normal"/>
              <w:keepLines/>
              <w:widowControl/>
              <w:spacing w:before="0" w:after="80"/>
              <w:jc w:val="left"/>
              <w:rPr>
                <w:rFonts w:ascii="Arial" w:hAnsi="Arial" w:cs="Arial"/>
                <w:sz w:val="24"/>
                <w:szCs w:val="24"/>
                <w:lang w:val="es-CO"/>
              </w:rPr>
            </w:pPr>
            <w:r>
              <w:rPr>
                <w:rFonts w:eastAsia="ＭＳ 明朝" w:cs="Arial" w:ascii="Arial" w:hAnsi="Arial"/>
                <w:b/>
                <w:bCs/>
                <w:kern w:val="0"/>
                <w:sz w:val="24"/>
                <w:szCs w:val="24"/>
                <w:lang w:val="es-CO" w:eastAsia="en-US" w:bidi="ar-SA"/>
              </w:rPr>
              <w:t>Calidad</w:t>
            </w:r>
          </w:p>
        </w:tc>
        <w:tc>
          <w:tcPr>
            <w:tcW w:w="5039" w:type="dxa"/>
            <w:tcBorders/>
          </w:tcPr>
          <w:p>
            <w:pPr>
              <w:pStyle w:val="Normal"/>
              <w:keepLines/>
              <w:widowControl/>
              <w:spacing w:before="0" w:after="80"/>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CO"/>
              </w:rPr>
            </w:pPr>
            <w:r>
              <w:rPr>
                <w:rFonts w:eastAsia="ＭＳ 明朝" w:cs="Arial" w:ascii="Arial" w:hAnsi="Arial"/>
                <w:kern w:val="0"/>
                <w:sz w:val="24"/>
                <w:szCs w:val="24"/>
                <w:lang w:val="es-CO" w:eastAsia="en-US" w:bidi="ar-SA"/>
              </w:rPr>
              <w:t>Docente de carrera · Decreto Ley 1278 de 2002</w:t>
            </w:r>
          </w:p>
        </w:tc>
      </w:tr>
      <w:tr>
        <w:trPr>
          <w:cnfStyle w:val="000000100000" w:firstRow="0" w:lastRow="0" w:firstColumn="0" w:lastColumn="0" w:oddVBand="0" w:evenVBand="0" w:oddHBand="1" w:evenHBand="0" w:firstRowFirstColumn="0" w:firstRowLastColumn="0" w:lastRowFirstColumn="0" w:lastRowLastColumn="0"/>
        </w:trPr>
        <w:tc>
          <w:tcPr>
            <w:tcW w:w="5040" w:type="dxa"/>
            <w:cnfStyle w:val="001000000000" w:firstRow="0" w:lastRow="0" w:firstColumn="1" w:lastColumn="0" w:oddVBand="0" w:evenVBand="0" w:oddHBand="0" w:evenHBand="0" w:firstRowFirstColumn="0" w:firstRowLastColumn="0" w:lastRowFirstColumn="0" w:lastRowLastColumn="0"/>
            <w:tcBorders/>
            <w:shd w:color="auto" w:fill="F2F2F2" w:themeFill="background1" w:themeFillShade="f2" w:val="clear"/>
          </w:tcPr>
          <w:p>
            <w:pPr>
              <w:pStyle w:val="Normal"/>
              <w:keepLines/>
              <w:widowControl/>
              <w:spacing w:before="0" w:after="80"/>
              <w:jc w:val="left"/>
              <w:rPr>
                <w:rFonts w:ascii="Arial" w:hAnsi="Arial" w:cs="Arial"/>
                <w:sz w:val="24"/>
                <w:szCs w:val="24"/>
                <w:lang w:val="es-CO"/>
              </w:rPr>
            </w:pPr>
            <w:r>
              <w:rPr>
                <w:rFonts w:eastAsia="ＭＳ 明朝" w:cs="Arial" w:ascii="Arial" w:hAnsi="Arial"/>
                <w:b/>
                <w:bCs/>
                <w:kern w:val="0"/>
                <w:sz w:val="24"/>
                <w:szCs w:val="24"/>
                <w:lang w:val="es-CO" w:eastAsia="en-US" w:bidi="ar-SA"/>
              </w:rPr>
              <w:t>Evaluadora recusada</w:t>
            </w:r>
          </w:p>
        </w:tc>
        <w:tc>
          <w:tcPr>
            <w:tcW w:w="5039" w:type="dxa"/>
            <w:tcBorders/>
            <w:shd w:color="auto" w:fill="F2F2F2" w:themeFill="background1" w:themeFillShade="f2" w:val="clear"/>
          </w:tcPr>
          <w:p>
            <w:pPr>
              <w:pStyle w:val="Normal"/>
              <w:keepLines/>
              <w:widowControl/>
              <w:spacing w:before="0" w:after="80"/>
              <w:jc w:val="left"/>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CO"/>
              </w:rPr>
            </w:pPr>
            <w:r>
              <w:rPr>
                <w:rFonts w:eastAsia="ＭＳ 明朝" w:cs="Arial" w:ascii="Arial" w:hAnsi="Arial"/>
                <w:kern w:val="0"/>
                <w:sz w:val="24"/>
                <w:szCs w:val="24"/>
                <w:lang w:val="es-CO" w:eastAsia="en-US" w:bidi="ar-SA"/>
              </w:rPr>
              <w:t>María Victoria Estrada Castañeda · Rectora</w:t>
            </w:r>
          </w:p>
        </w:tc>
      </w:tr>
      <w:tr>
        <w:trPr/>
        <w:tc>
          <w:tcPr>
            <w:tcW w:w="5040" w:type="dxa"/>
            <w:cnfStyle w:val="001000000000" w:firstRow="0" w:lastRow="0" w:firstColumn="1" w:lastColumn="0" w:oddVBand="0" w:evenVBand="0" w:oddHBand="0" w:evenHBand="0" w:firstRowFirstColumn="0" w:firstRowLastColumn="0" w:lastRowFirstColumn="0" w:lastRowLastColumn="0"/>
            <w:tcBorders/>
          </w:tcPr>
          <w:p>
            <w:pPr>
              <w:pStyle w:val="Normal"/>
              <w:keepLines/>
              <w:widowControl/>
              <w:spacing w:before="0" w:after="80"/>
              <w:jc w:val="left"/>
              <w:rPr>
                <w:rFonts w:ascii="Arial" w:hAnsi="Arial" w:cs="Arial"/>
                <w:sz w:val="24"/>
                <w:szCs w:val="24"/>
                <w:lang w:val="es-CO"/>
              </w:rPr>
            </w:pPr>
            <w:r>
              <w:rPr>
                <w:rFonts w:eastAsia="ＭＳ 明朝" w:cs="Arial" w:ascii="Arial" w:hAnsi="Arial"/>
                <w:b/>
                <w:bCs/>
                <w:kern w:val="0"/>
                <w:sz w:val="24"/>
                <w:szCs w:val="24"/>
                <w:lang w:val="es-CO" w:eastAsia="en-US" w:bidi="ar-SA"/>
              </w:rPr>
              <w:t>Actuación</w:t>
            </w:r>
          </w:p>
        </w:tc>
        <w:tc>
          <w:tcPr>
            <w:tcW w:w="5039" w:type="dxa"/>
            <w:tcBorders/>
          </w:tcPr>
          <w:p>
            <w:pPr>
              <w:pStyle w:val="Normal"/>
              <w:keepLines/>
              <w:widowControl/>
              <w:spacing w:before="0" w:after="80"/>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CO"/>
              </w:rPr>
            </w:pPr>
            <w:r>
              <w:rPr>
                <w:rFonts w:eastAsia="ＭＳ 明朝" w:cs="Arial" w:ascii="Arial" w:hAnsi="Arial"/>
                <w:kern w:val="0"/>
                <w:sz w:val="24"/>
                <w:szCs w:val="24"/>
                <w:lang w:val="es-CO" w:eastAsia="en-US" w:bidi="ar-SA"/>
              </w:rPr>
              <w:t>Evaluación Anual de Desempeño Laboral correspondiente a la vigencia 2025</w:t>
            </w:r>
          </w:p>
        </w:tc>
      </w:tr>
    </w:tbl>
    <w:p>
      <w:pPr>
        <w:pStyle w:val="Normal"/>
        <w:spacing w:before="0" w:after="0"/>
        <w:rPr>
          <w:rFonts w:ascii="Arial" w:hAnsi="Arial" w:cs="Arial"/>
          <w:sz w:val="24"/>
          <w:szCs w:val="24"/>
          <w:lang w:val="es-CO"/>
        </w:rPr>
      </w:pPr>
      <w:r>
        <w:rPr>
          <w:rFonts w:cs="Arial" w:ascii="Arial" w:hAnsi="Arial"/>
          <w:sz w:val="24"/>
          <w:szCs w:val="24"/>
          <w:lang w:val="es-CO"/>
        </w:rPr>
      </w:r>
    </w:p>
    <w:tbl>
      <w:tblPr>
        <w:tblW w:w="10080" w:type="dxa"/>
        <w:jc w:val="center"/>
        <w:tblInd w:w="0" w:type="dxa"/>
        <w:tblLayout w:type="fixed"/>
        <w:tblCellMar>
          <w:top w:w="130" w:type="dxa"/>
          <w:left w:w="150" w:type="dxa"/>
          <w:bottom w:w="130" w:type="dxa"/>
          <w:right w:w="150" w:type="dxa"/>
        </w:tblCellMar>
        <w:tblLook w:val="04a0" w:noHBand="0" w:noVBand="1" w:firstColumn="1" w:lastRow="0" w:lastColumn="0" w:firstRow="1"/>
      </w:tblPr>
      <w:tblGrid>
        <w:gridCol w:w="10080"/>
      </w:tblGrid>
      <w:tr>
        <w:trPr/>
        <w:tc>
          <w:tcPr>
            <w:tcW w:w="10080" w:type="dxa"/>
            <w:tcBorders>
              <w:top w:val="single" w:sz="12" w:space="0" w:color="000000"/>
              <w:left w:val="single" w:sz="12" w:space="0" w:color="000000"/>
              <w:bottom w:val="single" w:sz="12" w:space="0" w:color="000000"/>
              <w:right w:val="single" w:sz="12" w:space="0" w:color="000000"/>
            </w:tcBorders>
          </w:tcPr>
          <w:p>
            <w:pPr>
              <w:pStyle w:val="Normal"/>
              <w:keepLines/>
              <w:widowControl w:val="false"/>
              <w:spacing w:before="0" w:after="80"/>
              <w:jc w:val="both"/>
              <w:rPr>
                <w:rFonts w:ascii="Arial" w:hAnsi="Arial" w:cs="Arial"/>
                <w:sz w:val="24"/>
                <w:szCs w:val="24"/>
                <w:lang w:val="es-CO"/>
              </w:rPr>
            </w:pPr>
            <w:r>
              <w:rPr>
                <w:rFonts w:cs="Arial" w:ascii="Arial" w:hAnsi="Arial"/>
                <w:b/>
                <w:sz w:val="24"/>
                <w:szCs w:val="24"/>
                <w:lang w:val="es-CO"/>
              </w:rPr>
              <w:t xml:space="preserve">OBJETO DE LA SOLICITUD. </w:t>
            </w:r>
            <w:r>
              <w:rPr>
                <w:rFonts w:cs="Arial" w:ascii="Arial" w:hAnsi="Arial"/>
                <w:sz w:val="24"/>
                <w:szCs w:val="24"/>
                <w:lang w:val="es-CO"/>
              </w:rPr>
              <w:t>Recuso a la rectora María Victoria Estrada Castañeda para intervenir como evaluadora en mi Evaluación Anual de Desempeño Laboral de la vigencia 2025 y solicito que la autoridad competente resuelva la recusación mediante acto administrativo motivado y, si prospera, determine de inmediato quién debe asumir la evaluación, sin anticipar ni condicionar el resultado de la calificación.</w:t>
            </w:r>
          </w:p>
        </w:tc>
      </w:tr>
    </w:tbl>
    <w:p>
      <w:pPr>
        <w:pStyle w:val="Normal"/>
        <w:keepNext w:val="true"/>
        <w:pBdr>
          <w:bottom w:val="single" w:sz="8" w:space="4" w:color="000000"/>
        </w:pBdr>
        <w:spacing w:before="220" w:after="100"/>
        <w:rPr>
          <w:rFonts w:ascii="Arial" w:hAnsi="Arial" w:cs="Arial"/>
          <w:sz w:val="24"/>
          <w:szCs w:val="24"/>
          <w:lang w:val="es-CO"/>
        </w:rPr>
      </w:pPr>
      <w:r>
        <w:rPr>
          <w:rFonts w:cs="Arial" w:ascii="Arial" w:hAnsi="Arial"/>
          <w:b/>
          <w:sz w:val="24"/>
          <w:szCs w:val="24"/>
          <w:lang w:val="es-CO"/>
        </w:rPr>
        <w:t>1. COMPARECENCIA Y ALCANCE DE LA RECUSACIÓN</w:t>
      </w:r>
    </w:p>
    <w:p>
      <w:pPr>
        <w:pStyle w:val="Normal"/>
        <w:spacing w:lineRule="auto" w:line="259" w:before="0" w:after="100"/>
        <w:jc w:val="both"/>
        <w:rPr>
          <w:rFonts w:ascii="Arial" w:hAnsi="Arial" w:cs="Arial"/>
          <w:sz w:val="24"/>
          <w:szCs w:val="24"/>
          <w:lang w:val="es-CO"/>
        </w:rPr>
      </w:pPr>
      <w:r>
        <w:rPr>
          <w:rFonts w:cs="Arial" w:ascii="Arial" w:hAnsi="Arial"/>
          <w:sz w:val="24"/>
          <w:szCs w:val="24"/>
          <w:lang w:val="es-CO"/>
        </w:rPr>
        <w:t xml:space="preserve">Yo, </w:t>
      </w:r>
      <w:r>
        <w:rPr>
          <w:rFonts w:cs="Arial" w:ascii="Arial" w:hAnsi="Arial"/>
          <w:b/>
          <w:bCs/>
          <w:sz w:val="24"/>
          <w:szCs w:val="24"/>
          <w:lang w:val="es-CO"/>
        </w:rPr>
        <w:t>TATIANA PAOLA HERNÁNDEZ NIETO</w:t>
      </w:r>
      <w:r>
        <w:rPr>
          <w:rFonts w:cs="Arial" w:ascii="Arial" w:hAnsi="Arial"/>
          <w:sz w:val="24"/>
          <w:szCs w:val="24"/>
          <w:lang w:val="es-CO"/>
        </w:rPr>
        <w:t xml:space="preserve">, identificada como aparece al pie de mi firma, docente de carrera regida por el Decreto Ley 1278 de 2002, actuando en nombre propio, formulo recusación contra la rectora </w:t>
      </w:r>
      <w:r>
        <w:rPr>
          <w:rFonts w:cs="Arial" w:ascii="Arial" w:hAnsi="Arial"/>
          <w:b/>
          <w:bCs/>
          <w:sz w:val="24"/>
          <w:szCs w:val="24"/>
          <w:lang w:val="es-CO"/>
        </w:rPr>
        <w:t>MARÍA VICTORIA ESTRADA CASTAÑEDA</w:t>
      </w:r>
      <w:r>
        <w:rPr>
          <w:rFonts w:cs="Arial" w:ascii="Arial" w:hAnsi="Arial"/>
          <w:sz w:val="24"/>
          <w:szCs w:val="24"/>
          <w:lang w:val="es-CO"/>
        </w:rPr>
        <w:t xml:space="preserve"> en su calidad de evaluadora de mi desempeño laboral correspondiente a la vigencia 2025.</w:t>
      </w:r>
    </w:p>
    <w:p>
      <w:pPr>
        <w:pStyle w:val="Normal"/>
        <w:spacing w:lineRule="auto" w:line="259" w:before="0" w:after="100"/>
        <w:jc w:val="both"/>
        <w:rPr>
          <w:rFonts w:ascii="Arial" w:hAnsi="Arial" w:cs="Arial"/>
          <w:sz w:val="24"/>
          <w:szCs w:val="24"/>
          <w:lang w:val="es-CO"/>
        </w:rPr>
      </w:pPr>
      <w:r>
        <w:rPr>
          <w:rFonts w:cs="Arial" w:ascii="Arial" w:hAnsi="Arial"/>
          <w:sz w:val="24"/>
          <w:szCs w:val="24"/>
          <w:lang w:val="es-CO"/>
        </w:rPr>
        <w:t>Esta solicitud no pretende obtener una calificación determinada ni cuestionar anticipadamente el resultado de la evaluación. Su finalidad exclusiva es asegurar que la actuación evaluativa sea adelantada por una autoridad cuya objetividad e imparcialidad no se encuentren comprometidas por controversias personales y administrativas previas.</w:t>
      </w:r>
    </w:p>
    <w:p>
      <w:pPr>
        <w:pStyle w:val="Normal"/>
        <w:keepNext w:val="true"/>
        <w:pBdr>
          <w:bottom w:val="single" w:sz="8" w:space="4" w:color="000000"/>
        </w:pBdr>
        <w:spacing w:before="220" w:after="100"/>
        <w:rPr>
          <w:rFonts w:ascii="Arial" w:hAnsi="Arial" w:cs="Arial"/>
          <w:sz w:val="24"/>
          <w:szCs w:val="24"/>
          <w:lang w:val="es-CO"/>
        </w:rPr>
      </w:pPr>
      <w:r>
        <w:rPr>
          <w:rFonts w:cs="Arial" w:ascii="Arial" w:hAnsi="Arial"/>
          <w:b/>
          <w:sz w:val="24"/>
          <w:szCs w:val="24"/>
          <w:lang w:val="es-CO"/>
        </w:rPr>
        <w:t>2. HECHOS QUE SUSTENTAN LA RECUSACIÓN</w:t>
      </w:r>
    </w:p>
    <w:p>
      <w:pPr>
        <w:pStyle w:val="Normal"/>
        <w:spacing w:before="0" w:after="100"/>
        <w:jc w:val="both"/>
        <w:rPr>
          <w:rFonts w:ascii="Arial" w:hAnsi="Arial" w:cs="Arial"/>
          <w:sz w:val="24"/>
          <w:szCs w:val="24"/>
          <w:lang w:val="es-CO"/>
        </w:rPr>
      </w:pPr>
      <w:r>
        <w:rPr>
          <w:rFonts w:cs="Arial" w:ascii="Arial" w:hAnsi="Arial"/>
          <w:b/>
          <w:sz w:val="24"/>
          <w:szCs w:val="24"/>
          <w:lang w:val="es-CO"/>
        </w:rPr>
        <w:t xml:space="preserve">2.1. Evaluación pendiente. </w:t>
      </w:r>
      <w:r>
        <w:rPr>
          <w:rFonts w:cs="Arial" w:ascii="Arial" w:hAnsi="Arial"/>
          <w:sz w:val="24"/>
          <w:szCs w:val="24"/>
          <w:lang w:val="es-CO"/>
        </w:rPr>
        <w:t>La evaluación anual de desempeño correspondiente a la vigencia 2025 se encuentra pendiente. He solicitado su realización en varias oportunidades y requiero que la actuación se adelante con todas las garantías de objetividad e imparcialidad.</w:t>
      </w:r>
    </w:p>
    <w:p>
      <w:pPr>
        <w:pStyle w:val="Normal"/>
        <w:spacing w:before="0" w:after="100"/>
        <w:jc w:val="both"/>
        <w:rPr>
          <w:rFonts w:ascii="Arial" w:hAnsi="Arial" w:cs="Arial"/>
          <w:sz w:val="24"/>
          <w:szCs w:val="24"/>
          <w:lang w:val="es-CO"/>
        </w:rPr>
      </w:pPr>
      <w:r>
        <w:rPr>
          <w:rFonts w:cs="Arial" w:ascii="Arial" w:hAnsi="Arial"/>
          <w:b/>
          <w:sz w:val="24"/>
          <w:szCs w:val="24"/>
          <w:lang w:val="es-CO"/>
        </w:rPr>
        <w:t xml:space="preserve">2.2. Remisión de la solicitud a la misma evaluadora. </w:t>
      </w:r>
      <w:r>
        <w:rPr>
          <w:rFonts w:cs="Arial" w:ascii="Arial" w:hAnsi="Arial"/>
          <w:sz w:val="24"/>
          <w:szCs w:val="24"/>
          <w:lang w:val="es-CO"/>
        </w:rPr>
        <w:t>Mediante Oficio No. 10.14.02.00.24-617 del 28 de abril de 2026, la Secretaría de Educación remitió mi solicitud relacionada con la evaluación a la rectora María Victoria Estrada Castañeda, quien aparece como responsable de adelantarla.</w:t>
      </w:r>
    </w:p>
    <w:p>
      <w:pPr>
        <w:pStyle w:val="Normal"/>
        <w:spacing w:before="0" w:after="100"/>
        <w:jc w:val="both"/>
        <w:rPr>
          <w:rFonts w:ascii="Arial" w:hAnsi="Arial" w:cs="Arial"/>
          <w:sz w:val="24"/>
          <w:szCs w:val="24"/>
          <w:lang w:val="es-CO"/>
        </w:rPr>
      </w:pPr>
      <w:r>
        <w:rPr>
          <w:rFonts w:cs="Arial" w:ascii="Arial" w:hAnsi="Arial"/>
          <w:b/>
          <w:sz w:val="24"/>
          <w:szCs w:val="24"/>
          <w:lang w:val="es-CO"/>
        </w:rPr>
        <w:t xml:space="preserve">2.3. Controversias administrativas previas. </w:t>
      </w:r>
      <w:r>
        <w:rPr>
          <w:rFonts w:cs="Arial" w:ascii="Arial" w:hAnsi="Arial"/>
          <w:sz w:val="24"/>
          <w:szCs w:val="24"/>
          <w:lang w:val="es-CO"/>
        </w:rPr>
        <w:t>Con anterioridad a la presente recusación he formulado quejas ante autoridades como la Personería, la Procuraduría y la Secretaría de Educación respecto de actuaciones que atribuyo a la rectora. Dentro de la documentación que poseo se identifica, entre otros, el expediente 2025RE037736, remitido a la oficina competente para su trámite.</w:t>
      </w:r>
    </w:p>
    <w:p>
      <w:pPr>
        <w:pStyle w:val="Normal"/>
        <w:spacing w:before="0" w:after="100"/>
        <w:jc w:val="both"/>
        <w:rPr>
          <w:rFonts w:ascii="Arial" w:hAnsi="Arial" w:cs="Arial"/>
          <w:sz w:val="24"/>
          <w:szCs w:val="24"/>
          <w:lang w:val="es-CO"/>
        </w:rPr>
      </w:pPr>
      <w:r>
        <w:rPr>
          <w:rFonts w:cs="Arial" w:ascii="Arial" w:hAnsi="Arial"/>
          <w:b/>
          <w:sz w:val="24"/>
          <w:szCs w:val="24"/>
          <w:lang w:val="es-CO"/>
        </w:rPr>
        <w:t xml:space="preserve">2.4. Alegaciones de hostigamiento y discriminación. </w:t>
      </w:r>
      <w:r>
        <w:rPr>
          <w:rFonts w:cs="Arial" w:ascii="Arial" w:hAnsi="Arial"/>
          <w:sz w:val="24"/>
          <w:szCs w:val="24"/>
          <w:lang w:val="es-CO"/>
        </w:rPr>
        <w:t>En esas actuaciones he señalado hechos que considero constitutivos de hostigamiento y trato discriminatorio, algunos de ellos relacionados con mi orientación sexual. Estas afirmaciones se invocan como antecedentes de la relación conflictiva existente y no como hechos ya declarados probados por una autoridad.</w:t>
      </w:r>
    </w:p>
    <w:p>
      <w:pPr>
        <w:pStyle w:val="Normal"/>
        <w:spacing w:before="0" w:after="100"/>
        <w:jc w:val="both"/>
        <w:rPr>
          <w:rFonts w:ascii="Arial" w:hAnsi="Arial" w:cs="Arial"/>
          <w:sz w:val="24"/>
          <w:szCs w:val="24"/>
          <w:lang w:val="es-CO"/>
        </w:rPr>
      </w:pPr>
      <w:r>
        <w:rPr>
          <w:rFonts w:cs="Arial" w:ascii="Arial" w:hAnsi="Arial"/>
          <w:b/>
          <w:sz w:val="24"/>
          <w:szCs w:val="24"/>
          <w:lang w:val="es-CO"/>
        </w:rPr>
        <w:t xml:space="preserve">2.5. Afectación objetiva de la confianza en la imparcialidad. </w:t>
      </w:r>
      <w:r>
        <w:rPr>
          <w:rFonts w:cs="Arial" w:ascii="Arial" w:hAnsi="Arial"/>
          <w:sz w:val="24"/>
          <w:szCs w:val="24"/>
          <w:lang w:val="es-CO"/>
        </w:rPr>
        <w:t>La existencia de actuaciones administrativas previas, reclamaciones recíprocas y un conflicto sostenido entre la evaluadora y la suscrita genera una duda seria sobre las condiciones de independencia necesarias para que la misma funcionaria emita una valoración objetiva sobre mi desempeño profesional.</w:t>
      </w:r>
    </w:p>
    <w:p>
      <w:pPr>
        <w:pStyle w:val="Normal"/>
        <w:spacing w:before="0" w:after="100"/>
        <w:jc w:val="both"/>
        <w:rPr>
          <w:rFonts w:ascii="Arial" w:hAnsi="Arial" w:cs="Arial"/>
          <w:sz w:val="24"/>
          <w:szCs w:val="24"/>
          <w:lang w:val="es-CO"/>
        </w:rPr>
      </w:pPr>
      <w:r>
        <w:rPr>
          <w:rFonts w:cs="Arial" w:ascii="Arial" w:hAnsi="Arial"/>
          <w:b/>
          <w:sz w:val="24"/>
          <w:szCs w:val="24"/>
          <w:lang w:val="es-CO"/>
        </w:rPr>
        <w:t xml:space="preserve">2.6. Necesidad de decisión oportuna. </w:t>
      </w:r>
      <w:r>
        <w:rPr>
          <w:rFonts w:cs="Arial" w:ascii="Arial" w:hAnsi="Arial"/>
          <w:sz w:val="24"/>
          <w:szCs w:val="24"/>
          <w:lang w:val="es-CO"/>
        </w:rPr>
        <w:t>La evaluación continua pendiente y puede tener incidencia en actuaciones propias de la carrera docente. Por ello solicito que la recusación sea decidida dentro del término legal y que, de prosperar, se determine sin demora quién continuará la evaluación.</w:t>
      </w:r>
    </w:p>
    <w:p>
      <w:pPr>
        <w:pStyle w:val="Normal"/>
        <w:keepNext w:val="true"/>
        <w:spacing w:before="220" w:after="100"/>
        <w:rPr>
          <w:rFonts w:ascii="Arial" w:hAnsi="Arial" w:cs="Arial"/>
          <w:sz w:val="24"/>
          <w:szCs w:val="24"/>
          <w:lang w:val="es-CO"/>
        </w:rPr>
      </w:pPr>
      <w:r>
        <w:rPr>
          <w:rFonts w:cs="Arial" w:ascii="Arial" w:hAnsi="Arial"/>
          <w:b/>
          <w:sz w:val="24"/>
          <w:szCs w:val="24"/>
          <w:lang w:val="es-CO"/>
        </w:rPr>
        <w:t>3. LÍNEA DE TIEMPO RELEVANTE</w:t>
      </w:r>
    </w:p>
    <w:tbl>
      <w:tblPr>
        <w:tblStyle w:val="Tablanormal1"/>
        <w:tblW w:w="1029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750"/>
        <w:gridCol w:w="4762"/>
        <w:gridCol w:w="3784"/>
      </w:tblGrid>
      <w:tr>
        <w:trPr>
          <w:cnfStyle w:val="100000000000" w:firstRow="1" w:lastRow="0" w:firstColumn="0" w:lastColumn="0" w:oddVBand="0" w:evenVBand="0" w:oddHBand="0" w:evenHBand="0" w:firstRowFirstColumn="0" w:firstRowLastColumn="0" w:lastRowFirstColumn="0" w:lastRowLastColumn="0"/>
        </w:trPr>
        <w:tc>
          <w:tcPr>
            <w:tcW w:w="1750" w:type="dxa"/>
            <w:cnfStyle w:val="001000000000" w:firstRow="0" w:lastRow="0" w:firstColumn="1" w:lastColumn="0" w:oddVBand="0" w:evenVBand="0" w:oddHBand="0" w:evenHBand="0" w:firstRowFirstColumn="0" w:firstRowLastColumn="0" w:lastRowFirstColumn="0" w:lastRowLastColumn="0"/>
            <w:tcBorders/>
          </w:tcPr>
          <w:p>
            <w:pPr>
              <w:pStyle w:val="Normal"/>
              <w:keepNext w:val="true"/>
              <w:widowControl/>
              <w:spacing w:before="220" w:after="100"/>
              <w:jc w:val="left"/>
              <w:rPr>
                <w:rFonts w:ascii="Arial" w:hAnsi="Arial" w:cs="Arial"/>
                <w:sz w:val="24"/>
                <w:szCs w:val="24"/>
                <w:lang w:val="es-CO"/>
              </w:rPr>
            </w:pPr>
            <w:r>
              <w:rPr>
                <w:rFonts w:eastAsia="ＭＳ 明朝" w:cs="Arial" w:ascii="Arial" w:hAnsi="Arial"/>
                <w:b/>
                <w:bCs/>
                <w:kern w:val="0"/>
                <w:sz w:val="24"/>
                <w:szCs w:val="24"/>
                <w:lang w:val="es-CO" w:eastAsia="en-US" w:bidi="ar-SA"/>
              </w:rPr>
              <w:t>Fecha / período</w:t>
            </w:r>
          </w:p>
        </w:tc>
        <w:tc>
          <w:tcPr>
            <w:tcW w:w="4762" w:type="dxa"/>
            <w:tcBorders/>
          </w:tcPr>
          <w:p>
            <w:pPr>
              <w:pStyle w:val="Normal"/>
              <w:keepNext w:val="true"/>
              <w:widowControl/>
              <w:spacing w:before="220" w:after="100"/>
              <w:jc w:val="left"/>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CO"/>
              </w:rPr>
            </w:pPr>
            <w:r>
              <w:rPr>
                <w:rFonts w:eastAsia="ＭＳ 明朝" w:cs="Arial" w:ascii="Arial" w:hAnsi="Arial"/>
                <w:b/>
                <w:bCs/>
                <w:kern w:val="0"/>
                <w:sz w:val="24"/>
                <w:szCs w:val="24"/>
                <w:lang w:val="es-CO" w:eastAsia="en-US" w:bidi="ar-SA"/>
              </w:rPr>
              <w:t>Actuación</w:t>
            </w:r>
          </w:p>
        </w:tc>
        <w:tc>
          <w:tcPr>
            <w:tcW w:w="3784" w:type="dxa"/>
            <w:tcBorders/>
          </w:tcPr>
          <w:p>
            <w:pPr>
              <w:pStyle w:val="Normal"/>
              <w:keepNext w:val="true"/>
              <w:widowControl/>
              <w:spacing w:before="220" w:after="100"/>
              <w:jc w:val="left"/>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CO"/>
              </w:rPr>
            </w:pPr>
            <w:r>
              <w:rPr>
                <w:rFonts w:eastAsia="ＭＳ 明朝" w:cs="Arial" w:ascii="Arial" w:hAnsi="Arial"/>
                <w:b/>
                <w:bCs/>
                <w:kern w:val="0"/>
                <w:sz w:val="24"/>
                <w:szCs w:val="24"/>
                <w:lang w:val="es-CO" w:eastAsia="en-US" w:bidi="ar-SA"/>
              </w:rPr>
              <w:t>Relevancia para la recusación</w:t>
            </w:r>
          </w:p>
        </w:tc>
      </w:tr>
      <w:tr>
        <w:trPr>
          <w:cnfStyle w:val="000000100000" w:firstRow="0" w:lastRow="0" w:firstColumn="0" w:lastColumn="0" w:oddVBand="0" w:evenVBand="0" w:oddHBand="1" w:evenHBand="0" w:firstRowFirstColumn="0" w:firstRowLastColumn="0" w:lastRowFirstColumn="0" w:lastRowLastColumn="0"/>
        </w:trPr>
        <w:tc>
          <w:tcPr>
            <w:tcW w:w="1750" w:type="dxa"/>
            <w:cnfStyle w:val="001000000000" w:firstRow="0" w:lastRow="0" w:firstColumn="1" w:lastColumn="0" w:oddVBand="0" w:evenVBand="0" w:oddHBand="0" w:evenHBand="0" w:firstRowFirstColumn="0" w:firstRowLastColumn="0" w:lastRowFirstColumn="0" w:lastRowLastColumn="0"/>
            <w:tcBorders/>
            <w:shd w:color="auto" w:fill="F2F2F2" w:themeFill="background1" w:themeFillShade="f2" w:val="clear"/>
          </w:tcPr>
          <w:p>
            <w:pPr>
              <w:pStyle w:val="Normal"/>
              <w:keepNext w:val="true"/>
              <w:widowControl/>
              <w:spacing w:before="220" w:after="100"/>
              <w:jc w:val="left"/>
              <w:rPr>
                <w:rFonts w:ascii="Arial" w:hAnsi="Arial" w:cs="Arial"/>
                <w:sz w:val="24"/>
                <w:szCs w:val="24"/>
                <w:lang w:val="es-CO"/>
              </w:rPr>
            </w:pPr>
            <w:r>
              <w:rPr>
                <w:rFonts w:eastAsia="ＭＳ 明朝" w:cs="Arial" w:ascii="Arial" w:hAnsi="Arial"/>
                <w:b/>
                <w:bCs/>
                <w:kern w:val="0"/>
                <w:sz w:val="24"/>
                <w:szCs w:val="24"/>
                <w:lang w:val="es-CO" w:eastAsia="en-US" w:bidi="ar-SA"/>
              </w:rPr>
              <w:t>2025</w:t>
            </w:r>
          </w:p>
        </w:tc>
        <w:tc>
          <w:tcPr>
            <w:tcW w:w="4762" w:type="dxa"/>
            <w:tcBorders/>
            <w:shd w:color="auto" w:fill="F2F2F2" w:themeFill="background1" w:themeFillShade="f2" w:val="clear"/>
          </w:tcPr>
          <w:p>
            <w:pPr>
              <w:pStyle w:val="Normal"/>
              <w:keepNext w:val="true"/>
              <w:widowControl/>
              <w:spacing w:before="220" w:after="100"/>
              <w:jc w:val="left"/>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lang w:val="es-CO"/>
              </w:rPr>
            </w:pPr>
            <w:r>
              <w:rPr>
                <w:rFonts w:eastAsia="ＭＳ 明朝" w:cs="Arial" w:ascii="Arial" w:hAnsi="Arial"/>
                <w:bCs/>
                <w:kern w:val="0"/>
                <w:sz w:val="24"/>
                <w:szCs w:val="24"/>
                <w:lang w:val="es-CO" w:eastAsia="en-US" w:bidi="ar-SA"/>
              </w:rPr>
              <w:t>Presentación de quejas y actuaciones administrativas relacionadas directamente con la rectora María Victoria Estrada Castañeda. Entre ellas se identifica el expediente 2025RE037736.</w:t>
            </w:r>
          </w:p>
        </w:tc>
        <w:tc>
          <w:tcPr>
            <w:tcW w:w="3784" w:type="dxa"/>
            <w:tcBorders/>
            <w:shd w:color="auto" w:fill="F2F2F2" w:themeFill="background1" w:themeFillShade="f2" w:val="clear"/>
          </w:tcPr>
          <w:p>
            <w:pPr>
              <w:pStyle w:val="Normal"/>
              <w:keepNext w:val="true"/>
              <w:widowControl/>
              <w:spacing w:before="220" w:after="100"/>
              <w:jc w:val="left"/>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lang w:val="es-CO"/>
              </w:rPr>
            </w:pPr>
            <w:r>
              <w:rPr>
                <w:rFonts w:eastAsia="ＭＳ 明朝" w:cs="Arial" w:ascii="Arial" w:hAnsi="Arial"/>
                <w:bCs/>
                <w:kern w:val="0"/>
                <w:sz w:val="24"/>
                <w:szCs w:val="24"/>
                <w:lang w:val="es-CO" w:eastAsia="en-US" w:bidi="ar-SA"/>
              </w:rPr>
              <w:t>Antecedente de las controversias previas invocadas como fundamento de la recusación.</w:t>
            </w:r>
          </w:p>
        </w:tc>
      </w:tr>
      <w:tr>
        <w:trPr/>
        <w:tc>
          <w:tcPr>
            <w:tcW w:w="1750" w:type="dxa"/>
            <w:cnfStyle w:val="001000000000" w:firstRow="0" w:lastRow="0" w:firstColumn="1" w:lastColumn="0" w:oddVBand="0" w:evenVBand="0" w:oddHBand="0" w:evenHBand="0" w:firstRowFirstColumn="0" w:firstRowLastColumn="0" w:lastRowFirstColumn="0" w:lastRowLastColumn="0"/>
            <w:tcBorders/>
          </w:tcPr>
          <w:p>
            <w:pPr>
              <w:pStyle w:val="Normal"/>
              <w:keepNext w:val="true"/>
              <w:widowControl/>
              <w:spacing w:before="220" w:after="100"/>
              <w:jc w:val="left"/>
              <w:rPr>
                <w:rFonts w:ascii="Arial" w:hAnsi="Arial" w:cs="Arial"/>
                <w:sz w:val="24"/>
                <w:szCs w:val="24"/>
                <w:lang w:val="es-CO"/>
              </w:rPr>
            </w:pPr>
            <w:r>
              <w:rPr>
                <w:rFonts w:eastAsia="ＭＳ 明朝" w:cs="Arial" w:ascii="Arial" w:hAnsi="Arial"/>
                <w:b/>
                <w:bCs/>
                <w:kern w:val="0"/>
                <w:sz w:val="24"/>
                <w:szCs w:val="24"/>
                <w:lang w:val="es-CO" w:eastAsia="en-US" w:bidi="ar-SA"/>
              </w:rPr>
              <w:t>28 abr. 2026</w:t>
            </w:r>
          </w:p>
        </w:tc>
        <w:tc>
          <w:tcPr>
            <w:tcW w:w="4762" w:type="dxa"/>
            <w:tcBorders/>
          </w:tcPr>
          <w:p>
            <w:pPr>
              <w:pStyle w:val="Normal"/>
              <w:keepNext w:val="true"/>
              <w:widowControl/>
              <w:spacing w:before="220" w:after="100"/>
              <w:jc w:val="left"/>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lang w:val="es-CO"/>
              </w:rPr>
            </w:pPr>
            <w:r>
              <w:rPr>
                <w:rFonts w:eastAsia="ＭＳ 明朝" w:cs="Arial" w:ascii="Arial" w:hAnsi="Arial"/>
                <w:bCs/>
                <w:kern w:val="0"/>
                <w:sz w:val="24"/>
                <w:szCs w:val="24"/>
                <w:lang w:val="es-CO" w:eastAsia="en-US" w:bidi="ar-SA"/>
              </w:rPr>
              <w:t>Oficio No. 10.14.02.00.24-617 de la Secretaría de Educación relacionado con la solicitud de evaluación de desempeño.</w:t>
            </w:r>
          </w:p>
        </w:tc>
        <w:tc>
          <w:tcPr>
            <w:tcW w:w="3784" w:type="dxa"/>
            <w:tcBorders/>
          </w:tcPr>
          <w:p>
            <w:pPr>
              <w:pStyle w:val="Normal"/>
              <w:keepNext w:val="true"/>
              <w:widowControl/>
              <w:spacing w:before="220" w:after="100"/>
              <w:jc w:val="left"/>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lang w:val="es-CO"/>
              </w:rPr>
            </w:pPr>
            <w:r>
              <w:rPr>
                <w:rFonts w:eastAsia="ＭＳ 明朝" w:cs="Arial" w:ascii="Arial" w:hAnsi="Arial"/>
                <w:bCs/>
                <w:kern w:val="0"/>
                <w:sz w:val="24"/>
                <w:szCs w:val="24"/>
                <w:lang w:val="es-CO" w:eastAsia="en-US" w:bidi="ar-SA"/>
              </w:rPr>
              <w:t>Evidencia que la evaluación 2025 permanece vinculada a la actuación de la rectora cuya imparcialidad se cuestiona.</w:t>
            </w:r>
          </w:p>
        </w:tc>
      </w:tr>
      <w:tr>
        <w:trPr>
          <w:cnfStyle w:val="000000100000" w:firstRow="0" w:lastRow="0" w:firstColumn="0" w:lastColumn="0" w:oddVBand="0" w:evenVBand="0" w:oddHBand="1" w:evenHBand="0" w:firstRowFirstColumn="0" w:firstRowLastColumn="0" w:lastRowFirstColumn="0" w:lastRowLastColumn="0"/>
        </w:trPr>
        <w:tc>
          <w:tcPr>
            <w:tcW w:w="1750" w:type="dxa"/>
            <w:cnfStyle w:val="001000000000" w:firstRow="0" w:lastRow="0" w:firstColumn="1" w:lastColumn="0" w:oddVBand="0" w:evenVBand="0" w:oddHBand="0" w:evenHBand="0" w:firstRowFirstColumn="0" w:firstRowLastColumn="0" w:lastRowFirstColumn="0" w:lastRowLastColumn="0"/>
            <w:tcBorders/>
            <w:shd w:color="auto" w:fill="F2F2F2" w:themeFill="background1" w:themeFillShade="f2" w:val="clear"/>
          </w:tcPr>
          <w:p>
            <w:pPr>
              <w:pStyle w:val="Normal"/>
              <w:keepNext w:val="true"/>
              <w:widowControl/>
              <w:spacing w:before="220" w:after="100"/>
              <w:jc w:val="left"/>
              <w:rPr>
                <w:rFonts w:ascii="Arial" w:hAnsi="Arial" w:cs="Arial"/>
                <w:sz w:val="24"/>
                <w:szCs w:val="24"/>
                <w:lang w:val="es-CO"/>
              </w:rPr>
            </w:pPr>
            <w:r>
              <w:rPr>
                <w:rFonts w:eastAsia="ＭＳ 明朝" w:cs="Arial" w:ascii="Arial" w:hAnsi="Arial"/>
                <w:b/>
                <w:bCs/>
                <w:kern w:val="0"/>
                <w:sz w:val="24"/>
                <w:szCs w:val="24"/>
                <w:lang w:val="es-CO" w:eastAsia="en-US" w:bidi="ar-SA"/>
              </w:rPr>
              <w:t>Abr. – ago. 2026</w:t>
            </w:r>
          </w:p>
        </w:tc>
        <w:tc>
          <w:tcPr>
            <w:tcW w:w="4762" w:type="dxa"/>
            <w:tcBorders/>
            <w:shd w:color="auto" w:fill="F2F2F2" w:themeFill="background1" w:themeFillShade="f2" w:val="clear"/>
          </w:tcPr>
          <w:p>
            <w:pPr>
              <w:pStyle w:val="Normal"/>
              <w:keepNext w:val="true"/>
              <w:widowControl/>
              <w:spacing w:before="220" w:after="100"/>
              <w:jc w:val="left"/>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lang w:val="es-CO"/>
              </w:rPr>
            </w:pPr>
            <w:r>
              <w:rPr>
                <w:rFonts w:eastAsia="ＭＳ 明朝" w:cs="Arial" w:ascii="Arial" w:hAnsi="Arial"/>
                <w:bCs/>
                <w:kern w:val="0"/>
                <w:sz w:val="24"/>
                <w:szCs w:val="24"/>
                <w:lang w:val="es-CO" w:eastAsia="en-US" w:bidi="ar-SA"/>
              </w:rPr>
              <w:t>Persisten las solicitudes para que se realice la Evaluación Anual de Desempeño correspondiente a 2025.</w:t>
            </w:r>
          </w:p>
        </w:tc>
        <w:tc>
          <w:tcPr>
            <w:tcW w:w="3784" w:type="dxa"/>
            <w:tcBorders/>
            <w:shd w:color="auto" w:fill="F2F2F2" w:themeFill="background1" w:themeFillShade="f2" w:val="clear"/>
          </w:tcPr>
          <w:p>
            <w:pPr>
              <w:pStyle w:val="Normal"/>
              <w:keepNext w:val="true"/>
              <w:widowControl/>
              <w:spacing w:before="220" w:after="100"/>
              <w:jc w:val="left"/>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lang w:val="es-CO"/>
              </w:rPr>
            </w:pPr>
            <w:r>
              <w:rPr>
                <w:rFonts w:eastAsia="ＭＳ 明朝" w:cs="Arial" w:ascii="Arial" w:hAnsi="Arial"/>
                <w:bCs/>
                <w:kern w:val="0"/>
                <w:sz w:val="24"/>
                <w:szCs w:val="24"/>
                <w:lang w:val="es-CO" w:eastAsia="en-US" w:bidi="ar-SA"/>
              </w:rPr>
              <w:t>La evaluación continua pendiente y hace necesaria una definición sobre el evaluador competente.</w:t>
            </w:r>
          </w:p>
        </w:tc>
      </w:tr>
      <w:tr>
        <w:trPr/>
        <w:tc>
          <w:tcPr>
            <w:tcW w:w="1750" w:type="dxa"/>
            <w:cnfStyle w:val="001000000000" w:firstRow="0" w:lastRow="0" w:firstColumn="1" w:lastColumn="0" w:oddVBand="0" w:evenVBand="0" w:oddHBand="0" w:evenHBand="0" w:firstRowFirstColumn="0" w:firstRowLastColumn="0" w:lastRowFirstColumn="0" w:lastRowLastColumn="0"/>
            <w:tcBorders/>
          </w:tcPr>
          <w:p>
            <w:pPr>
              <w:pStyle w:val="Normal"/>
              <w:keepNext w:val="true"/>
              <w:widowControl/>
              <w:spacing w:before="220" w:after="100"/>
              <w:jc w:val="left"/>
              <w:rPr>
                <w:rFonts w:ascii="Arial" w:hAnsi="Arial" w:cs="Arial"/>
                <w:sz w:val="24"/>
                <w:szCs w:val="24"/>
                <w:lang w:val="es-CO"/>
              </w:rPr>
            </w:pPr>
            <w:r>
              <w:rPr>
                <w:rFonts w:eastAsia="ＭＳ 明朝" w:cs="Arial" w:ascii="Arial" w:hAnsi="Arial"/>
                <w:b/>
                <w:bCs/>
                <w:kern w:val="0"/>
                <w:sz w:val="24"/>
                <w:szCs w:val="24"/>
                <w:highlight w:val="yellow"/>
                <w:lang w:val="es-CO" w:eastAsia="en-US" w:bidi="ar-SA"/>
              </w:rPr>
              <w:t>[fecha real de radicación]</w:t>
            </w:r>
          </w:p>
        </w:tc>
        <w:tc>
          <w:tcPr>
            <w:tcW w:w="4762" w:type="dxa"/>
            <w:tcBorders/>
          </w:tcPr>
          <w:p>
            <w:pPr>
              <w:pStyle w:val="Normal"/>
              <w:keepNext w:val="true"/>
              <w:widowControl/>
              <w:spacing w:before="220" w:after="100"/>
              <w:jc w:val="left"/>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lang w:val="es-CO"/>
              </w:rPr>
            </w:pPr>
            <w:r>
              <w:rPr>
                <w:rFonts w:eastAsia="ＭＳ 明朝" w:cs="Arial" w:ascii="Arial" w:hAnsi="Arial"/>
                <w:bCs/>
                <w:kern w:val="0"/>
                <w:sz w:val="24"/>
                <w:szCs w:val="24"/>
                <w:lang w:val="es-CO" w:eastAsia="en-US" w:bidi="ar-SA"/>
              </w:rPr>
              <w:t>Presentación de la recusación ante la Secretaría de Educación de Rionegro.</w:t>
            </w:r>
          </w:p>
        </w:tc>
        <w:tc>
          <w:tcPr>
            <w:tcW w:w="3784" w:type="dxa"/>
            <w:tcBorders/>
          </w:tcPr>
          <w:p>
            <w:pPr>
              <w:pStyle w:val="Normal"/>
              <w:keepNext w:val="true"/>
              <w:widowControl/>
              <w:spacing w:before="220" w:after="100"/>
              <w:jc w:val="left"/>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lang w:val="es-CO"/>
              </w:rPr>
            </w:pPr>
            <w:r>
              <w:rPr>
                <w:rFonts w:eastAsia="ＭＳ 明朝" w:cs="Arial" w:ascii="Arial" w:hAnsi="Arial"/>
                <w:bCs/>
                <w:kern w:val="0"/>
                <w:sz w:val="24"/>
                <w:szCs w:val="24"/>
                <w:lang w:val="es-CO" w:eastAsia="en-US" w:bidi="ar-SA"/>
              </w:rPr>
              <w:t>Da inicio al trámite de recusación y produce la suspensión de la actuación en los términos del artículo 12 del CPACA, hasta que sea decidida.</w:t>
            </w:r>
          </w:p>
        </w:tc>
      </w:tr>
    </w:tbl>
    <w:p>
      <w:pPr>
        <w:pStyle w:val="Normal"/>
        <w:keepNext w:val="true"/>
        <w:pBdr>
          <w:bottom w:val="single" w:sz="8" w:space="4" w:color="000000"/>
        </w:pBdr>
        <w:spacing w:before="220" w:after="100"/>
        <w:rPr>
          <w:rFonts w:ascii="Arial" w:hAnsi="Arial" w:cs="Arial"/>
          <w:sz w:val="24"/>
          <w:szCs w:val="24"/>
          <w:lang w:val="es-CO"/>
        </w:rPr>
      </w:pPr>
      <w:r>
        <w:rPr>
          <w:rFonts w:cs="Arial" w:ascii="Arial" w:hAnsi="Arial"/>
          <w:b/>
          <w:sz w:val="24"/>
          <w:szCs w:val="24"/>
          <w:lang w:val="es-CO"/>
        </w:rPr>
        <w:t>4. FUNDAMENTO JURÍDICO</w:t>
      </w:r>
    </w:p>
    <w:p>
      <w:pPr>
        <w:pStyle w:val="Normal"/>
        <w:spacing w:lineRule="auto" w:line="259" w:before="0" w:after="100"/>
        <w:jc w:val="both"/>
        <w:rPr>
          <w:rFonts w:ascii="Arial" w:hAnsi="Arial" w:cs="Arial"/>
          <w:sz w:val="24"/>
          <w:szCs w:val="24"/>
          <w:lang w:val="es-CO"/>
        </w:rPr>
      </w:pPr>
      <w:r>
        <w:rPr>
          <w:rFonts w:cs="Arial" w:ascii="Arial" w:hAnsi="Arial"/>
          <w:sz w:val="24"/>
          <w:szCs w:val="24"/>
          <w:lang w:val="es-CO"/>
        </w:rPr>
        <w:t>El régimen especial de evaluación anual de desempeño laboral de los docentes regidos por el Decreto Ley 1278 de 2002 reconoce expresamente la posibilidad de recusar al evaluador. El artículo 2.4.1.5.3.3 del Decreto 1075 de 2015, que compila el artículo 24 del Decreto 3782 de 2007, dispone que el docente puede recusar al evaluador ante el superior jerárquico de este, expresando por escrito la causal y las razones que la sustentan. La decisión debe adoptarse mediante acto administrativo motivado dentro de los diez (10) días hábiles siguientes, conforme al texto actualmente compilado.</w:t>
      </w:r>
    </w:p>
    <w:p>
      <w:pPr>
        <w:pStyle w:val="Normal"/>
        <w:spacing w:lineRule="auto" w:line="259" w:before="0" w:after="100"/>
        <w:jc w:val="both"/>
        <w:rPr>
          <w:rFonts w:ascii="Arial" w:hAnsi="Arial" w:cs="Arial"/>
          <w:sz w:val="24"/>
          <w:szCs w:val="24"/>
          <w:lang w:val="es-CO"/>
        </w:rPr>
      </w:pPr>
      <w:r>
        <w:rPr>
          <w:rFonts w:cs="Arial" w:ascii="Arial" w:hAnsi="Arial"/>
          <w:sz w:val="24"/>
          <w:szCs w:val="24"/>
          <w:lang w:val="es-CO"/>
        </w:rPr>
        <w:t>A su vez, los artículos 11 y 12 de la Ley 1437 de 2011 regulan los conflictos de interés, las causales de impedimento y recusación y su trámite. Estas reglas buscan preservar la imparcialidad de quien debe adelantar actuaciones administrativas o adoptar decisiones que afectan directamente a los interesados.</w:t>
      </w:r>
    </w:p>
    <w:tbl>
      <w:tblPr>
        <w:tblStyle w:val="Tablanormal1"/>
        <w:tblW w:w="1048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360"/>
        <w:gridCol w:w="3383"/>
        <w:gridCol w:w="3745"/>
      </w:tblGrid>
      <w:tr>
        <w:trPr>
          <w:cnfStyle w:val="100000000000" w:firstRow="1" w:lastRow="0" w:firstColumn="0" w:lastColumn="0" w:oddVBand="0" w:evenVBand="0" w:oddHBand="0" w:evenHBand="0" w:firstRowFirstColumn="0" w:firstRowLastColumn="0" w:lastRowFirstColumn="0" w:lastRowLastColumn="0"/>
        </w:trPr>
        <w:tc>
          <w:tcPr>
            <w:tcW w:w="3360" w:type="dxa"/>
            <w:cnfStyle w:val="001000000000" w:firstRow="0" w:lastRow="0" w:firstColumn="1" w:lastColumn="0" w:oddVBand="0" w:evenVBand="0" w:oddHBand="0" w:evenHBand="0" w:firstRowFirstColumn="0" w:firstRowLastColumn="0" w:lastRowFirstColumn="0" w:lastRowLastColumn="0"/>
            <w:tcBorders/>
          </w:tcPr>
          <w:p>
            <w:pPr>
              <w:pStyle w:val="Normal"/>
              <w:keepLines/>
              <w:widowControl/>
              <w:spacing w:before="0" w:after="80"/>
              <w:jc w:val="center"/>
              <w:rPr>
                <w:rFonts w:ascii="Arial" w:hAnsi="Arial" w:cs="Arial"/>
                <w:sz w:val="24"/>
                <w:szCs w:val="24"/>
                <w:lang w:val="es-CO"/>
              </w:rPr>
            </w:pPr>
            <w:r>
              <w:rPr>
                <w:rFonts w:eastAsia="ＭＳ 明朝" w:cs="Arial" w:ascii="Arial" w:hAnsi="Arial"/>
                <w:b/>
                <w:bCs/>
                <w:kern w:val="0"/>
                <w:sz w:val="24"/>
                <w:szCs w:val="24"/>
                <w:lang w:val="es-CO" w:eastAsia="en-US" w:bidi="ar-SA"/>
              </w:rPr>
              <w:t>Norma</w:t>
            </w:r>
          </w:p>
        </w:tc>
        <w:tc>
          <w:tcPr>
            <w:tcW w:w="3383" w:type="dxa"/>
            <w:tcBorders/>
          </w:tcPr>
          <w:p>
            <w:pPr>
              <w:pStyle w:val="Normal"/>
              <w:keepLines/>
              <w:widowControl/>
              <w:spacing w:before="0" w:after="80"/>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CO"/>
              </w:rPr>
            </w:pPr>
            <w:r>
              <w:rPr>
                <w:rFonts w:eastAsia="ＭＳ 明朝" w:cs="Arial" w:ascii="Arial" w:hAnsi="Arial"/>
                <w:b/>
                <w:bCs/>
                <w:kern w:val="0"/>
                <w:sz w:val="24"/>
                <w:szCs w:val="24"/>
                <w:lang w:val="es-CO" w:eastAsia="en-US" w:bidi="ar-SA"/>
              </w:rPr>
              <w:t>Regla aplicable</w:t>
            </w:r>
          </w:p>
        </w:tc>
        <w:tc>
          <w:tcPr>
            <w:tcW w:w="3745" w:type="dxa"/>
            <w:tcBorders/>
          </w:tcPr>
          <w:p>
            <w:pPr>
              <w:pStyle w:val="Normal"/>
              <w:keepLines/>
              <w:widowControl/>
              <w:spacing w:before="0" w:after="80"/>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es-CO"/>
              </w:rPr>
            </w:pPr>
            <w:r>
              <w:rPr>
                <w:rFonts w:eastAsia="ＭＳ 明朝" w:cs="Arial" w:ascii="Arial" w:hAnsi="Arial"/>
                <w:b/>
                <w:bCs/>
                <w:kern w:val="0"/>
                <w:sz w:val="24"/>
                <w:szCs w:val="24"/>
                <w:lang w:val="es-CO" w:eastAsia="en-US" w:bidi="ar-SA"/>
              </w:rPr>
              <w:t>Aplicación solicitada</w:t>
            </w:r>
          </w:p>
        </w:tc>
      </w:tr>
      <w:tr>
        <w:trPr>
          <w:cnfStyle w:val="000000100000" w:firstRow="0" w:lastRow="0" w:firstColumn="0" w:lastColumn="0" w:oddVBand="0" w:evenVBand="0" w:oddHBand="1" w:evenHBand="0" w:firstRowFirstColumn="0" w:firstRowLastColumn="0" w:lastRowFirstColumn="0" w:lastRowLastColumn="0"/>
        </w:trPr>
        <w:tc>
          <w:tcPr>
            <w:tcW w:w="3360" w:type="dxa"/>
            <w:cnfStyle w:val="001000000000" w:firstRow="0" w:lastRow="0" w:firstColumn="1" w:lastColumn="0" w:oddVBand="0" w:evenVBand="0" w:oddHBand="0" w:evenHBand="0" w:firstRowFirstColumn="0" w:firstRowLastColumn="0" w:lastRowFirstColumn="0" w:lastRowLastColumn="0"/>
            <w:tcBorders/>
            <w:shd w:color="auto" w:fill="F2F2F2" w:themeFill="background1" w:themeFillShade="f2" w:val="clear"/>
          </w:tcPr>
          <w:p>
            <w:pPr>
              <w:pStyle w:val="Normal"/>
              <w:keepLines/>
              <w:widowControl/>
              <w:spacing w:before="0" w:after="80"/>
              <w:jc w:val="both"/>
              <w:rPr>
                <w:rFonts w:ascii="Arial" w:hAnsi="Arial" w:cs="Arial"/>
                <w:sz w:val="24"/>
                <w:szCs w:val="24"/>
                <w:lang w:val="es-CO"/>
              </w:rPr>
            </w:pPr>
            <w:r>
              <w:rPr>
                <w:rFonts w:eastAsia="ＭＳ 明朝" w:cs="Arial" w:ascii="Arial" w:hAnsi="Arial"/>
                <w:b/>
                <w:bCs/>
                <w:kern w:val="0"/>
                <w:sz w:val="24"/>
                <w:szCs w:val="24"/>
                <w:lang w:val="es-CO" w:eastAsia="en-US" w:bidi="ar-SA"/>
              </w:rPr>
              <w:t>Decreto 1075 de 2015, art. 2.4.1.5.3.3</w:t>
            </w:r>
          </w:p>
        </w:tc>
        <w:tc>
          <w:tcPr>
            <w:tcW w:w="3383" w:type="dxa"/>
            <w:tcBorders/>
            <w:shd w:color="auto" w:fill="F2F2F2" w:themeFill="background1" w:themeFillShade="f2" w:val="clear"/>
          </w:tcPr>
          <w:p>
            <w:pPr>
              <w:pStyle w:val="Normal"/>
              <w:keepLines/>
              <w:widowControl/>
              <w:spacing w:before="0" w:after="80"/>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CO"/>
              </w:rPr>
            </w:pPr>
            <w:r>
              <w:rPr>
                <w:rFonts w:eastAsia="ＭＳ 明朝" w:cs="Arial" w:ascii="Arial" w:hAnsi="Arial"/>
                <w:kern w:val="0"/>
                <w:sz w:val="24"/>
                <w:szCs w:val="24"/>
                <w:lang w:val="es-CO" w:eastAsia="en-US" w:bidi="ar-SA"/>
              </w:rPr>
              <w:t>Permite al docente recusar al evaluador ante su superior jerárquico y exige decisión motivada.</w:t>
            </w:r>
          </w:p>
        </w:tc>
        <w:tc>
          <w:tcPr>
            <w:tcW w:w="3745" w:type="dxa"/>
            <w:tcBorders/>
            <w:shd w:color="auto" w:fill="F2F2F2" w:themeFill="background1" w:themeFillShade="f2" w:val="clear"/>
          </w:tcPr>
          <w:p>
            <w:pPr>
              <w:pStyle w:val="Normal"/>
              <w:keepLines/>
              <w:widowControl/>
              <w:spacing w:before="0" w:after="80"/>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CO"/>
              </w:rPr>
            </w:pPr>
            <w:r>
              <w:rPr>
                <w:rFonts w:eastAsia="ＭＳ 明朝" w:cs="Arial" w:ascii="Arial" w:hAnsi="Arial"/>
                <w:kern w:val="0"/>
                <w:sz w:val="24"/>
                <w:szCs w:val="24"/>
                <w:lang w:val="es-CO" w:eastAsia="en-US" w:bidi="ar-SA"/>
              </w:rPr>
              <w:t>Que la Secretaría tramite la recusación por la autoridad competente y defina quién continúa la evaluación si prospera.</w:t>
            </w:r>
          </w:p>
        </w:tc>
      </w:tr>
      <w:tr>
        <w:trPr/>
        <w:tc>
          <w:tcPr>
            <w:tcW w:w="3360" w:type="dxa"/>
            <w:cnfStyle w:val="001000000000" w:firstRow="0" w:lastRow="0" w:firstColumn="1" w:lastColumn="0" w:oddVBand="0" w:evenVBand="0" w:oddHBand="0" w:evenHBand="0" w:firstRowFirstColumn="0" w:firstRowLastColumn="0" w:lastRowFirstColumn="0" w:lastRowLastColumn="0"/>
            <w:tcBorders/>
          </w:tcPr>
          <w:p>
            <w:pPr>
              <w:pStyle w:val="Normal"/>
              <w:keepLines/>
              <w:widowControl/>
              <w:spacing w:before="0" w:after="80"/>
              <w:jc w:val="both"/>
              <w:rPr>
                <w:rFonts w:ascii="Arial" w:hAnsi="Arial" w:cs="Arial"/>
                <w:sz w:val="24"/>
                <w:szCs w:val="24"/>
                <w:lang w:val="es-CO"/>
              </w:rPr>
            </w:pPr>
            <w:r>
              <w:rPr>
                <w:rFonts w:eastAsia="ＭＳ 明朝" w:cs="Arial" w:ascii="Arial" w:hAnsi="Arial"/>
                <w:b/>
                <w:bCs/>
                <w:kern w:val="0"/>
                <w:sz w:val="24"/>
                <w:szCs w:val="24"/>
                <w:lang w:val="es-CO" w:eastAsia="en-US" w:bidi="ar-SA"/>
              </w:rPr>
              <w:t>Ley 1437 de 2011, art. 11, num. 5</w:t>
            </w:r>
          </w:p>
        </w:tc>
        <w:tc>
          <w:tcPr>
            <w:tcW w:w="3383" w:type="dxa"/>
            <w:tcBorders/>
          </w:tcPr>
          <w:p>
            <w:pPr>
              <w:pStyle w:val="Normal"/>
              <w:keepLines/>
              <w:widowControl/>
              <w:spacing w:before="0" w:after="8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CO"/>
              </w:rPr>
            </w:pPr>
            <w:r>
              <w:rPr>
                <w:rFonts w:eastAsia="ＭＳ 明朝" w:cs="Arial" w:ascii="Arial" w:hAnsi="Arial"/>
                <w:kern w:val="0"/>
                <w:sz w:val="24"/>
                <w:szCs w:val="24"/>
                <w:lang w:val="es-CO" w:eastAsia="en-US" w:bidi="ar-SA"/>
              </w:rPr>
              <w:t>Prevé como causal la existencia de litigio o controversia ante autoridades administrativas o jurisdiccionales entre el servidor y un interesado.</w:t>
            </w:r>
          </w:p>
        </w:tc>
        <w:tc>
          <w:tcPr>
            <w:tcW w:w="3745" w:type="dxa"/>
            <w:tcBorders/>
          </w:tcPr>
          <w:p>
            <w:pPr>
              <w:pStyle w:val="Normal"/>
              <w:keepLines/>
              <w:widowControl/>
              <w:spacing w:before="0" w:after="8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CO"/>
              </w:rPr>
            </w:pPr>
            <w:r>
              <w:rPr>
                <w:rFonts w:eastAsia="ＭＳ 明朝" w:cs="Arial" w:ascii="Arial" w:hAnsi="Arial"/>
                <w:kern w:val="0"/>
                <w:sz w:val="24"/>
                <w:szCs w:val="24"/>
                <w:lang w:val="es-CO" w:eastAsia="en-US" w:bidi="ar-SA"/>
              </w:rPr>
              <w:t>Se invoca en cuanto las quejas y expedientes previos acrediten una controversia administrativa formal entre la evaluadora y la recusante.</w:t>
            </w:r>
          </w:p>
        </w:tc>
      </w:tr>
      <w:tr>
        <w:trPr>
          <w:cnfStyle w:val="000000100000" w:firstRow="0" w:lastRow="0" w:firstColumn="0" w:lastColumn="0" w:oddVBand="0" w:evenVBand="0" w:oddHBand="1" w:evenHBand="0" w:firstRowFirstColumn="0" w:firstRowLastColumn="0" w:lastRowFirstColumn="0" w:lastRowLastColumn="0"/>
        </w:trPr>
        <w:tc>
          <w:tcPr>
            <w:tcW w:w="3360" w:type="dxa"/>
            <w:cnfStyle w:val="001000000000" w:firstRow="0" w:lastRow="0" w:firstColumn="1" w:lastColumn="0" w:oddVBand="0" w:evenVBand="0" w:oddHBand="0" w:evenHBand="0" w:firstRowFirstColumn="0" w:firstRowLastColumn="0" w:lastRowFirstColumn="0" w:lastRowLastColumn="0"/>
            <w:tcBorders/>
            <w:shd w:color="auto" w:fill="F2F2F2" w:themeFill="background1" w:themeFillShade="f2" w:val="clear"/>
          </w:tcPr>
          <w:p>
            <w:pPr>
              <w:pStyle w:val="Normal"/>
              <w:keepLines/>
              <w:widowControl/>
              <w:spacing w:before="0" w:after="80"/>
              <w:jc w:val="both"/>
              <w:rPr>
                <w:rFonts w:ascii="Arial" w:hAnsi="Arial" w:cs="Arial"/>
                <w:sz w:val="24"/>
                <w:szCs w:val="24"/>
                <w:lang w:val="es-CO"/>
              </w:rPr>
            </w:pPr>
            <w:r>
              <w:rPr>
                <w:rFonts w:eastAsia="ＭＳ 明朝" w:cs="Arial" w:ascii="Arial" w:hAnsi="Arial"/>
                <w:b/>
                <w:bCs/>
                <w:kern w:val="0"/>
                <w:sz w:val="24"/>
                <w:szCs w:val="24"/>
                <w:lang w:val="es-CO" w:eastAsia="en-US" w:bidi="ar-SA"/>
              </w:rPr>
              <w:t>Ley 1437 de 2011, art. 11, num. 8</w:t>
            </w:r>
          </w:p>
        </w:tc>
        <w:tc>
          <w:tcPr>
            <w:tcW w:w="3383" w:type="dxa"/>
            <w:tcBorders/>
            <w:shd w:color="auto" w:fill="F2F2F2" w:themeFill="background1" w:themeFillShade="f2" w:val="clear"/>
          </w:tcPr>
          <w:p>
            <w:pPr>
              <w:pStyle w:val="Normal"/>
              <w:keepLines/>
              <w:widowControl/>
              <w:spacing w:before="0" w:after="80"/>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CO"/>
              </w:rPr>
            </w:pPr>
            <w:r>
              <w:rPr>
                <w:rFonts w:eastAsia="ＭＳ 明朝" w:cs="Arial" w:ascii="Arial" w:hAnsi="Arial"/>
                <w:kern w:val="0"/>
                <w:sz w:val="24"/>
                <w:szCs w:val="24"/>
                <w:lang w:val="es-CO" w:eastAsia="en-US" w:bidi="ar-SA"/>
              </w:rPr>
              <w:t>Prevé la enemistad grave por hechos ajenos a la actuación administrativa.</w:t>
            </w:r>
          </w:p>
        </w:tc>
        <w:tc>
          <w:tcPr>
            <w:tcW w:w="3745" w:type="dxa"/>
            <w:tcBorders/>
            <w:shd w:color="auto" w:fill="F2F2F2" w:themeFill="background1" w:themeFillShade="f2" w:val="clear"/>
          </w:tcPr>
          <w:p>
            <w:pPr>
              <w:pStyle w:val="Normal"/>
              <w:keepLines/>
              <w:widowControl/>
              <w:spacing w:before="0" w:after="80"/>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CO"/>
              </w:rPr>
            </w:pPr>
            <w:r>
              <w:rPr>
                <w:rFonts w:eastAsia="ＭＳ 明朝" w:cs="Arial" w:ascii="Arial" w:hAnsi="Arial"/>
                <w:kern w:val="0"/>
                <w:sz w:val="24"/>
                <w:szCs w:val="24"/>
                <w:lang w:val="es-CO" w:eastAsia="en-US" w:bidi="ar-SA"/>
              </w:rPr>
              <w:t>Se invoca de manera concurrente si los hechos y pruebas aportados permiten establecer una relación de hostilidad grave previa a la evaluación.</w:t>
            </w:r>
          </w:p>
        </w:tc>
      </w:tr>
      <w:tr>
        <w:trPr/>
        <w:tc>
          <w:tcPr>
            <w:tcW w:w="3360" w:type="dxa"/>
            <w:cnfStyle w:val="001000000000" w:firstRow="0" w:lastRow="0" w:firstColumn="1" w:lastColumn="0" w:oddVBand="0" w:evenVBand="0" w:oddHBand="0" w:evenHBand="0" w:firstRowFirstColumn="0" w:firstRowLastColumn="0" w:lastRowFirstColumn="0" w:lastRowLastColumn="0"/>
            <w:tcBorders/>
          </w:tcPr>
          <w:p>
            <w:pPr>
              <w:pStyle w:val="Normal"/>
              <w:keepLines/>
              <w:widowControl/>
              <w:spacing w:before="0" w:after="80"/>
              <w:jc w:val="both"/>
              <w:rPr>
                <w:rFonts w:ascii="Arial" w:hAnsi="Arial" w:cs="Arial"/>
                <w:sz w:val="24"/>
                <w:szCs w:val="24"/>
                <w:lang w:val="es-CO"/>
              </w:rPr>
            </w:pPr>
            <w:r>
              <w:rPr>
                <w:rFonts w:eastAsia="ＭＳ 明朝" w:cs="Arial" w:ascii="Arial" w:hAnsi="Arial"/>
                <w:b/>
                <w:bCs/>
                <w:kern w:val="0"/>
                <w:sz w:val="24"/>
                <w:szCs w:val="24"/>
                <w:lang w:val="es-CO" w:eastAsia="en-US" w:bidi="ar-SA"/>
              </w:rPr>
              <w:t>Ley 1437 de 2011, art. 12</w:t>
            </w:r>
          </w:p>
        </w:tc>
        <w:tc>
          <w:tcPr>
            <w:tcW w:w="3383" w:type="dxa"/>
            <w:tcBorders/>
          </w:tcPr>
          <w:p>
            <w:pPr>
              <w:pStyle w:val="Normal"/>
              <w:keepLines/>
              <w:widowControl/>
              <w:spacing w:before="0" w:after="8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CO"/>
              </w:rPr>
            </w:pPr>
            <w:r>
              <w:rPr>
                <w:rFonts w:eastAsia="ＭＳ 明朝" w:cs="Arial" w:ascii="Arial" w:hAnsi="Arial"/>
                <w:kern w:val="0"/>
                <w:sz w:val="24"/>
                <w:szCs w:val="24"/>
                <w:lang w:val="es-CO" w:eastAsia="en-US" w:bidi="ar-SA"/>
              </w:rPr>
              <w:t>Regula el trámite de la recusación y la suspensión de la actuación mientras se decide.</w:t>
            </w:r>
          </w:p>
        </w:tc>
        <w:tc>
          <w:tcPr>
            <w:tcW w:w="3745" w:type="dxa"/>
            <w:tcBorders/>
          </w:tcPr>
          <w:p>
            <w:pPr>
              <w:pStyle w:val="Normal"/>
              <w:keepLines/>
              <w:widowControl/>
              <w:spacing w:before="0" w:after="8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CO"/>
              </w:rPr>
            </w:pPr>
            <w:r>
              <w:rPr>
                <w:rFonts w:eastAsia="ＭＳ 明朝" w:cs="Arial" w:ascii="Arial" w:hAnsi="Arial"/>
                <w:kern w:val="0"/>
                <w:sz w:val="24"/>
                <w:szCs w:val="24"/>
                <w:lang w:val="es-CO" w:eastAsia="en-US" w:bidi="ar-SA"/>
              </w:rPr>
              <w:t>Que se cumpla el procedimiento legal sin convertir la recusación en una nueva causa de dilación de la evaluación.</w:t>
            </w:r>
          </w:p>
        </w:tc>
      </w:tr>
    </w:tbl>
    <w:p>
      <w:pPr>
        <w:pStyle w:val="Normal"/>
        <w:keepNext w:val="true"/>
        <w:pBdr>
          <w:bottom w:val="single" w:sz="8" w:space="4" w:color="000000"/>
        </w:pBdr>
        <w:spacing w:before="220" w:after="100"/>
        <w:rPr>
          <w:rFonts w:ascii="Arial" w:hAnsi="Arial" w:cs="Arial"/>
          <w:sz w:val="24"/>
          <w:szCs w:val="24"/>
          <w:lang w:val="es-CO"/>
        </w:rPr>
      </w:pPr>
      <w:r>
        <w:rPr>
          <w:rFonts w:cs="Arial" w:ascii="Arial" w:hAnsi="Arial"/>
          <w:b/>
          <w:sz w:val="24"/>
          <w:szCs w:val="24"/>
          <w:lang w:val="es-CO"/>
        </w:rPr>
        <w:t>5. CAUSALES INVOCADAS Y RAZÓN DE LA SOLICITUD</w:t>
      </w:r>
    </w:p>
    <w:p>
      <w:pPr>
        <w:pStyle w:val="Normal"/>
        <w:spacing w:lineRule="auto" w:line="259" w:before="0" w:after="100"/>
        <w:jc w:val="both"/>
        <w:rPr>
          <w:rFonts w:ascii="Arial" w:hAnsi="Arial" w:cs="Arial"/>
          <w:sz w:val="24"/>
          <w:szCs w:val="24"/>
          <w:lang w:val="es-CO"/>
        </w:rPr>
      </w:pPr>
      <w:r>
        <w:rPr>
          <w:rFonts w:cs="Arial" w:ascii="Arial" w:hAnsi="Arial"/>
          <w:sz w:val="24"/>
          <w:szCs w:val="24"/>
          <w:lang w:val="es-CO"/>
        </w:rPr>
        <w:t>La recusación se formula principalmente con fundamento en las causales previstas en los numerales 5 y 8 del artículo 11 de la Ley 1437 de 2011, en la medida en que la documentación anexa permita acreditar: (i) la existencia de controversias administrativas previas entre la rectora y la suscrita; y (ii) una relación de hostilidad grave derivada de hechos anteriores y ajenos a la actuación concreta de evaluación.</w:t>
      </w:r>
    </w:p>
    <w:p>
      <w:pPr>
        <w:pStyle w:val="Normal"/>
        <w:keepNext w:val="true"/>
        <w:spacing w:before="220" w:after="100"/>
        <w:rPr>
          <w:rFonts w:ascii="Arial" w:hAnsi="Arial" w:cs="Arial"/>
          <w:sz w:val="24"/>
          <w:szCs w:val="24"/>
          <w:lang w:val="es-CO"/>
        </w:rPr>
      </w:pPr>
      <w:r>
        <w:rPr>
          <w:rFonts w:cs="Arial" w:ascii="Arial" w:hAnsi="Arial"/>
          <w:b/>
          <w:sz w:val="24"/>
          <w:szCs w:val="24"/>
          <w:lang w:val="es-CO"/>
        </w:rPr>
        <w:t>6. SOLICITUDES</w:t>
      </w:r>
    </w:p>
    <w:tbl>
      <w:tblPr>
        <w:tblStyle w:val="Tablanormal1"/>
        <w:tblW w:w="1008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92"/>
        <w:gridCol w:w="9687"/>
      </w:tblGrid>
      <w:tr>
        <w:trPr>
          <w:cnfStyle w:val="100000000000" w:firstRow="1" w:lastRow="0" w:firstColumn="0" w:lastColumn="0" w:oddVBand="0" w:evenVBand="0" w:oddHBand="0" w:evenHBand="0" w:firstRowFirstColumn="0" w:firstRowLastColumn="0" w:lastRowFirstColumn="0" w:lastRowLastColumn="0"/>
        </w:trPr>
        <w:tc>
          <w:tcPr>
            <w:tcW w:w="392" w:type="dxa"/>
            <w:cnfStyle w:val="001000000000" w:firstRow="0" w:lastRow="0" w:firstColumn="1" w:lastColumn="0" w:oddVBand="0" w:evenVBand="0" w:oddHBand="0" w:evenHBand="0" w:firstRowFirstColumn="0" w:firstRowLastColumn="0" w:lastRowFirstColumn="0" w:lastRowLastColumn="0"/>
            <w:tcBorders/>
          </w:tcPr>
          <w:p>
            <w:pPr>
              <w:pStyle w:val="Normal"/>
              <w:keepLines/>
              <w:widowControl/>
              <w:spacing w:before="0" w:after="80"/>
              <w:jc w:val="center"/>
              <w:rPr>
                <w:rFonts w:ascii="Arial" w:hAnsi="Arial" w:cs="Arial"/>
                <w:sz w:val="24"/>
                <w:szCs w:val="24"/>
                <w:lang w:val="es-CO"/>
              </w:rPr>
            </w:pPr>
            <w:r>
              <w:rPr>
                <w:rFonts w:eastAsia="ＭＳ 明朝" w:cs="Arial" w:ascii="Arial" w:hAnsi="Arial"/>
                <w:b/>
                <w:bCs/>
                <w:kern w:val="0"/>
                <w:sz w:val="24"/>
                <w:szCs w:val="24"/>
                <w:lang w:val="es-CO" w:eastAsia="en-US" w:bidi="ar-SA"/>
              </w:rPr>
              <w:t>1</w:t>
            </w:r>
          </w:p>
        </w:tc>
        <w:tc>
          <w:tcPr>
            <w:tcW w:w="9687" w:type="dxa"/>
            <w:tcBorders/>
          </w:tcPr>
          <w:p>
            <w:pPr>
              <w:pStyle w:val="Normal"/>
              <w:keepLines/>
              <w:widowControl/>
              <w:spacing w:before="0" w:after="80"/>
              <w:jc w:val="both"/>
              <w:cnfStyle w:val="100000000000" w:firstRow="1" w:lastRow="0" w:firstColumn="0" w:lastColumn="0" w:oddVBand="0" w:evenVBand="0" w:oddHBand="0" w:evenHBand="0" w:firstRowFirstColumn="0" w:firstRowLastColumn="0" w:lastRowFirstColumn="0" w:lastRowLastColumn="0"/>
              <w:rPr>
                <w:rFonts w:ascii="Arial" w:hAnsi="Arial" w:cs="Arial"/>
                <w:b w:val="false"/>
                <w:b w:val="false"/>
                <w:bCs w:val="false"/>
                <w:sz w:val="24"/>
                <w:szCs w:val="24"/>
                <w:lang w:val="es-CO"/>
              </w:rPr>
            </w:pPr>
            <w:r>
              <w:rPr>
                <w:rFonts w:eastAsia="ＭＳ 明朝" w:cs="Arial" w:ascii="Arial" w:hAnsi="Arial"/>
                <w:b w:val="false"/>
                <w:bCs w:val="false"/>
                <w:kern w:val="0"/>
                <w:sz w:val="24"/>
                <w:szCs w:val="24"/>
                <w:lang w:val="es-CO" w:eastAsia="en-US" w:bidi="ar-SA"/>
              </w:rPr>
              <w:t>Que se admita y tramite la presente recusación contra la rectora María Victoria Estrada Castañeda en su calidad de evaluadora dentro de la Evaluación Anual de Desempeño Laboral correspondiente a la vigencia 2025.</w:t>
            </w:r>
          </w:p>
        </w:tc>
      </w:tr>
      <w:tr>
        <w:trPr>
          <w:cnfStyle w:val="000000100000" w:firstRow="0" w:lastRow="0" w:firstColumn="0" w:lastColumn="0" w:oddVBand="0" w:evenVBand="0" w:oddHBand="1" w:evenHBand="0" w:firstRowFirstColumn="0" w:firstRowLastColumn="0" w:lastRowFirstColumn="0" w:lastRowLastColumn="0"/>
        </w:trPr>
        <w:tc>
          <w:tcPr>
            <w:tcW w:w="392" w:type="dxa"/>
            <w:cnfStyle w:val="001000000000" w:firstRow="0" w:lastRow="0" w:firstColumn="1" w:lastColumn="0" w:oddVBand="0" w:evenVBand="0" w:oddHBand="0" w:evenHBand="0" w:firstRowFirstColumn="0" w:firstRowLastColumn="0" w:lastRowFirstColumn="0" w:lastRowLastColumn="0"/>
            <w:tcBorders/>
            <w:shd w:color="auto" w:fill="F2F2F2" w:themeFill="background1" w:themeFillShade="f2" w:val="clear"/>
          </w:tcPr>
          <w:p>
            <w:pPr>
              <w:pStyle w:val="Normal"/>
              <w:keepLines/>
              <w:widowControl/>
              <w:spacing w:before="0" w:after="80"/>
              <w:jc w:val="center"/>
              <w:rPr>
                <w:rFonts w:ascii="Arial" w:hAnsi="Arial" w:cs="Arial"/>
                <w:sz w:val="24"/>
                <w:szCs w:val="24"/>
                <w:lang w:val="es-CO"/>
              </w:rPr>
            </w:pPr>
            <w:r>
              <w:rPr>
                <w:rFonts w:eastAsia="ＭＳ 明朝" w:cs="Arial" w:ascii="Arial" w:hAnsi="Arial"/>
                <w:b/>
                <w:bCs/>
                <w:kern w:val="0"/>
                <w:sz w:val="24"/>
                <w:szCs w:val="24"/>
                <w:lang w:val="es-CO" w:eastAsia="en-US" w:bidi="ar-SA"/>
              </w:rPr>
              <w:t>2</w:t>
            </w:r>
          </w:p>
        </w:tc>
        <w:tc>
          <w:tcPr>
            <w:tcW w:w="9687" w:type="dxa"/>
            <w:tcBorders/>
            <w:shd w:color="auto" w:fill="F2F2F2" w:themeFill="background1" w:themeFillShade="f2" w:val="clear"/>
          </w:tcPr>
          <w:p>
            <w:pPr>
              <w:pStyle w:val="Normal"/>
              <w:keepLines/>
              <w:widowControl/>
              <w:spacing w:before="0" w:after="80"/>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CO"/>
              </w:rPr>
            </w:pPr>
            <w:r>
              <w:rPr>
                <w:rFonts w:eastAsia="ＭＳ 明朝" w:cs="Arial" w:ascii="Arial" w:hAnsi="Arial"/>
                <w:kern w:val="0"/>
                <w:sz w:val="24"/>
                <w:szCs w:val="24"/>
                <w:lang w:val="es-CO" w:eastAsia="en-US" w:bidi="ar-SA"/>
              </w:rPr>
              <w:t>Que la recusación sea resuelta por el superior jerárquico competente mediante acto administrativo motivado dentro de los diez (10) días hábiles siguientes, valorando las causales invocadas y las pruebas aportadas.</w:t>
            </w:r>
          </w:p>
        </w:tc>
      </w:tr>
      <w:tr>
        <w:trPr/>
        <w:tc>
          <w:tcPr>
            <w:tcW w:w="392" w:type="dxa"/>
            <w:cnfStyle w:val="001000000000" w:firstRow="0" w:lastRow="0" w:firstColumn="1" w:lastColumn="0" w:oddVBand="0" w:evenVBand="0" w:oddHBand="0" w:evenHBand="0" w:firstRowFirstColumn="0" w:firstRowLastColumn="0" w:lastRowFirstColumn="0" w:lastRowLastColumn="0"/>
            <w:tcBorders/>
          </w:tcPr>
          <w:p>
            <w:pPr>
              <w:pStyle w:val="Normal"/>
              <w:keepLines/>
              <w:widowControl/>
              <w:spacing w:before="0" w:after="80"/>
              <w:jc w:val="center"/>
              <w:rPr>
                <w:rFonts w:ascii="Arial" w:hAnsi="Arial" w:cs="Arial"/>
                <w:sz w:val="24"/>
                <w:szCs w:val="24"/>
                <w:lang w:val="es-CO"/>
              </w:rPr>
            </w:pPr>
            <w:r>
              <w:rPr>
                <w:rFonts w:eastAsia="ＭＳ 明朝" w:cs="Arial" w:ascii="Arial" w:hAnsi="Arial"/>
                <w:b/>
                <w:bCs/>
                <w:kern w:val="0"/>
                <w:sz w:val="24"/>
                <w:szCs w:val="24"/>
                <w:lang w:val="es-CO" w:eastAsia="en-US" w:bidi="ar-SA"/>
              </w:rPr>
              <w:t>3</w:t>
            </w:r>
          </w:p>
        </w:tc>
        <w:tc>
          <w:tcPr>
            <w:tcW w:w="9687" w:type="dxa"/>
            <w:tcBorders/>
          </w:tcPr>
          <w:p>
            <w:pPr>
              <w:pStyle w:val="Normal"/>
              <w:keepLines/>
              <w:widowControl/>
              <w:spacing w:before="0" w:after="8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CO"/>
              </w:rPr>
            </w:pPr>
            <w:r>
              <w:rPr>
                <w:rFonts w:eastAsia="ＭＳ 明朝" w:cs="Arial" w:ascii="Arial" w:hAnsi="Arial"/>
                <w:kern w:val="0"/>
                <w:sz w:val="24"/>
                <w:szCs w:val="24"/>
                <w:lang w:val="es-CO" w:eastAsia="en-US" w:bidi="ar-SA"/>
              </w:rPr>
              <w:t>Que, si se declara fundada la recusación, se determine en el mismo acto o de manera inmediata qué funcionario asumirá la evaluación, de forma que el trámite pueda continuar sin dilaciones innecesarias.</w:t>
            </w:r>
          </w:p>
        </w:tc>
      </w:tr>
      <w:tr>
        <w:trPr>
          <w:cnfStyle w:val="000000100000" w:firstRow="0" w:lastRow="0" w:firstColumn="0" w:lastColumn="0" w:oddVBand="0" w:evenVBand="0" w:oddHBand="1" w:evenHBand="0" w:firstRowFirstColumn="0" w:firstRowLastColumn="0" w:lastRowFirstColumn="0" w:lastRowLastColumn="0"/>
        </w:trPr>
        <w:tc>
          <w:tcPr>
            <w:tcW w:w="392" w:type="dxa"/>
            <w:cnfStyle w:val="001000000000" w:firstRow="0" w:lastRow="0" w:firstColumn="1" w:lastColumn="0" w:oddVBand="0" w:evenVBand="0" w:oddHBand="0" w:evenHBand="0" w:firstRowFirstColumn="0" w:firstRowLastColumn="0" w:lastRowFirstColumn="0" w:lastRowLastColumn="0"/>
            <w:tcBorders/>
            <w:shd w:color="auto" w:fill="F2F2F2" w:themeFill="background1" w:themeFillShade="f2" w:val="clear"/>
          </w:tcPr>
          <w:p>
            <w:pPr>
              <w:pStyle w:val="Normal"/>
              <w:keepLines/>
              <w:widowControl/>
              <w:spacing w:before="0" w:after="80"/>
              <w:jc w:val="center"/>
              <w:rPr>
                <w:rFonts w:ascii="Arial" w:hAnsi="Arial" w:cs="Arial"/>
                <w:sz w:val="24"/>
                <w:szCs w:val="24"/>
                <w:lang w:val="es-CO"/>
              </w:rPr>
            </w:pPr>
            <w:r>
              <w:rPr>
                <w:rFonts w:eastAsia="ＭＳ 明朝" w:cs="Arial" w:ascii="Arial" w:hAnsi="Arial"/>
                <w:b/>
                <w:bCs/>
                <w:kern w:val="0"/>
                <w:sz w:val="24"/>
                <w:szCs w:val="24"/>
                <w:lang w:val="es-CO" w:eastAsia="en-US" w:bidi="ar-SA"/>
              </w:rPr>
              <w:t>4</w:t>
            </w:r>
          </w:p>
        </w:tc>
        <w:tc>
          <w:tcPr>
            <w:tcW w:w="9687" w:type="dxa"/>
            <w:tcBorders/>
            <w:shd w:color="auto" w:fill="F2F2F2" w:themeFill="background1" w:themeFillShade="f2" w:val="clear"/>
          </w:tcPr>
          <w:p>
            <w:pPr>
              <w:pStyle w:val="Normal"/>
              <w:keepLines/>
              <w:widowControl/>
              <w:spacing w:before="0" w:after="80"/>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CO"/>
              </w:rPr>
            </w:pPr>
            <w:r>
              <w:rPr>
                <w:rFonts w:eastAsia="ＭＳ 明朝" w:cs="Arial" w:ascii="Arial" w:hAnsi="Arial"/>
                <w:kern w:val="0"/>
                <w:sz w:val="24"/>
                <w:szCs w:val="24"/>
                <w:lang w:val="es-CO" w:eastAsia="en-US" w:bidi="ar-SA"/>
              </w:rPr>
              <w:t>Que durante el trámite se preserve la objetividad de la actuación y, una vez decidida la recusación, se adopten las medidas necesarias para que la evaluación pendiente continúe oportunamente y la demora institucional no genere una afectación adicional a mis derechos de carrera.</w:t>
            </w:r>
          </w:p>
        </w:tc>
      </w:tr>
      <w:tr>
        <w:trPr/>
        <w:tc>
          <w:tcPr>
            <w:tcW w:w="392" w:type="dxa"/>
            <w:cnfStyle w:val="001000000000" w:firstRow="0" w:lastRow="0" w:firstColumn="1" w:lastColumn="0" w:oddVBand="0" w:evenVBand="0" w:oddHBand="0" w:evenHBand="0" w:firstRowFirstColumn="0" w:firstRowLastColumn="0" w:lastRowFirstColumn="0" w:lastRowLastColumn="0"/>
            <w:tcBorders/>
          </w:tcPr>
          <w:p>
            <w:pPr>
              <w:pStyle w:val="Normal"/>
              <w:keepLines/>
              <w:widowControl/>
              <w:spacing w:before="0" w:after="80"/>
              <w:jc w:val="center"/>
              <w:rPr>
                <w:rFonts w:ascii="Arial" w:hAnsi="Arial" w:cs="Arial"/>
                <w:sz w:val="24"/>
                <w:szCs w:val="24"/>
                <w:lang w:val="es-CO"/>
              </w:rPr>
            </w:pPr>
            <w:r>
              <w:rPr>
                <w:rFonts w:eastAsia="ＭＳ 明朝" w:cs="Arial" w:ascii="Arial" w:hAnsi="Arial"/>
                <w:b/>
                <w:bCs/>
                <w:kern w:val="0"/>
                <w:sz w:val="24"/>
                <w:szCs w:val="24"/>
                <w:lang w:val="es-CO" w:eastAsia="en-US" w:bidi="ar-SA"/>
              </w:rPr>
              <w:t>5</w:t>
            </w:r>
          </w:p>
        </w:tc>
        <w:tc>
          <w:tcPr>
            <w:tcW w:w="9687" w:type="dxa"/>
            <w:tcBorders/>
          </w:tcPr>
          <w:p>
            <w:pPr>
              <w:pStyle w:val="Normal"/>
              <w:keepLines/>
              <w:widowControl/>
              <w:spacing w:before="0" w:after="8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CO"/>
              </w:rPr>
            </w:pPr>
            <w:r>
              <w:rPr>
                <w:rFonts w:eastAsia="ＭＳ 明朝" w:cs="Arial" w:ascii="Arial" w:hAnsi="Arial"/>
                <w:kern w:val="0"/>
                <w:sz w:val="24"/>
                <w:szCs w:val="24"/>
                <w:lang w:val="es-CO" w:eastAsia="en-US" w:bidi="ar-SA"/>
              </w:rPr>
              <w:t>Que la decisión y las actuaciones posteriores me sean notificadas en la dirección electrónica indicada al final de este escrito.</w:t>
            </w:r>
          </w:p>
        </w:tc>
      </w:tr>
    </w:tbl>
    <w:p>
      <w:pPr>
        <w:pStyle w:val="Normal"/>
        <w:keepNext w:val="true"/>
        <w:pBdr>
          <w:bottom w:val="single" w:sz="8" w:space="4" w:color="000000"/>
        </w:pBdr>
        <w:spacing w:before="220" w:after="100"/>
        <w:jc w:val="both"/>
        <w:rPr>
          <w:rFonts w:ascii="Arial" w:hAnsi="Arial" w:cs="Arial"/>
          <w:sz w:val="24"/>
          <w:szCs w:val="24"/>
          <w:lang w:val="es-CO"/>
        </w:rPr>
      </w:pPr>
      <w:r>
        <w:rPr>
          <w:rFonts w:cs="Arial" w:ascii="Arial" w:hAnsi="Arial"/>
          <w:b/>
          <w:sz w:val="24"/>
          <w:szCs w:val="24"/>
          <w:lang w:val="es-CO"/>
        </w:rPr>
        <w:t>7. PRUEBAS Y DOCUMENTOS QUE SE APORTAN</w:t>
      </w:r>
    </w:p>
    <w:p>
      <w:pPr>
        <w:pStyle w:val="ListParagraph"/>
        <w:numPr>
          <w:ilvl w:val="0"/>
          <w:numId w:val="7"/>
        </w:numPr>
        <w:spacing w:before="0" w:after="60"/>
        <w:contextualSpacing/>
        <w:jc w:val="both"/>
        <w:rPr>
          <w:rFonts w:ascii="Arial" w:hAnsi="Arial" w:cs="Arial"/>
          <w:sz w:val="24"/>
          <w:szCs w:val="24"/>
          <w:lang w:val="es-CO"/>
        </w:rPr>
      </w:pPr>
      <w:r>
        <w:rPr>
          <w:rFonts w:cs="Arial" w:ascii="Arial" w:hAnsi="Arial"/>
          <w:sz w:val="24"/>
          <w:szCs w:val="24"/>
          <w:lang w:val="es-CO"/>
        </w:rPr>
        <w:t>Oficio No. 10.14.02.00.24-617 del 28 de abril de 2026.</w:t>
      </w:r>
    </w:p>
    <w:p>
      <w:pPr>
        <w:pStyle w:val="ListParagraph"/>
        <w:numPr>
          <w:ilvl w:val="0"/>
          <w:numId w:val="7"/>
        </w:numPr>
        <w:spacing w:before="0" w:after="60"/>
        <w:contextualSpacing/>
        <w:jc w:val="both"/>
        <w:rPr>
          <w:rFonts w:ascii="Arial" w:hAnsi="Arial" w:cs="Arial"/>
          <w:sz w:val="24"/>
          <w:szCs w:val="24"/>
          <w:lang w:val="es-CO"/>
        </w:rPr>
      </w:pPr>
      <w:r>
        <w:rPr>
          <w:rFonts w:cs="Arial" w:ascii="Arial" w:hAnsi="Arial"/>
          <w:sz w:val="24"/>
          <w:szCs w:val="24"/>
          <w:lang w:val="es-CO"/>
        </w:rPr>
        <w:t>Solicitudes radicadas por Tatiana Paola Hernández Nieto para que se practique la Evaluación Anual de Desempeño 2025 y constancias de recibido.</w:t>
      </w:r>
    </w:p>
    <w:p>
      <w:pPr>
        <w:pStyle w:val="ListParagraph"/>
        <w:numPr>
          <w:ilvl w:val="0"/>
          <w:numId w:val="7"/>
        </w:numPr>
        <w:spacing w:before="0" w:after="60"/>
        <w:contextualSpacing/>
        <w:jc w:val="both"/>
        <w:rPr>
          <w:rFonts w:ascii="Arial" w:hAnsi="Arial" w:cs="Arial"/>
          <w:sz w:val="24"/>
          <w:szCs w:val="24"/>
          <w:lang w:val="es-CO"/>
        </w:rPr>
      </w:pPr>
      <w:r>
        <w:rPr>
          <w:rFonts w:cs="Arial" w:ascii="Arial" w:hAnsi="Arial"/>
          <w:sz w:val="24"/>
          <w:szCs w:val="24"/>
          <w:lang w:val="es-CO"/>
        </w:rPr>
        <w:t>Constancias de las quejas formuladas ante Personería, Procuraduría, Secretaría de Educación u otras autoridades relacionadas directamente con la rectora María Victoria Estrada Castañeda, incluido el documento o constancia del expediente 2025RE037736 y de su remisión a la autoridad competente.</w:t>
      </w:r>
    </w:p>
    <w:p>
      <w:pPr>
        <w:pStyle w:val="ListParagraph"/>
        <w:numPr>
          <w:ilvl w:val="0"/>
          <w:numId w:val="7"/>
        </w:numPr>
        <w:spacing w:before="0" w:after="60"/>
        <w:contextualSpacing/>
        <w:jc w:val="both"/>
        <w:rPr>
          <w:rFonts w:ascii="Arial" w:hAnsi="Arial" w:cs="Arial"/>
          <w:sz w:val="24"/>
          <w:szCs w:val="24"/>
          <w:lang w:val="es-CO"/>
        </w:rPr>
      </w:pPr>
      <w:r>
        <w:rPr>
          <w:rFonts w:cs="Arial" w:ascii="Arial" w:hAnsi="Arial"/>
          <w:sz w:val="24"/>
          <w:szCs w:val="24"/>
          <w:lang w:val="es-CO"/>
        </w:rPr>
        <w:t>Comunicaciones, decisiones, correos, mensajes, actas o testimonios que permiten acreditar los hechos concretos de hostigamiento, trato adverso o discriminación alegados.</w:t>
      </w:r>
    </w:p>
    <w:p>
      <w:pPr>
        <w:pStyle w:val="ListParagraph"/>
        <w:numPr>
          <w:ilvl w:val="0"/>
          <w:numId w:val="7"/>
        </w:numPr>
        <w:spacing w:before="0" w:after="60"/>
        <w:contextualSpacing/>
        <w:jc w:val="both"/>
        <w:rPr>
          <w:rFonts w:ascii="Arial" w:hAnsi="Arial" w:cs="Arial"/>
          <w:sz w:val="24"/>
          <w:szCs w:val="24"/>
          <w:lang w:val="es-CO"/>
        </w:rPr>
      </w:pPr>
      <w:r>
        <w:rPr>
          <w:rFonts w:cs="Arial" w:ascii="Arial" w:hAnsi="Arial"/>
          <w:sz w:val="24"/>
          <w:szCs w:val="24"/>
          <w:lang w:val="es-CO"/>
        </w:rPr>
        <w:t>Documento que acredita la proximidad del proceso de ascenso o reubicación y la incidencia concreta de la evaluación pendiente.</w:t>
      </w:r>
    </w:p>
    <w:p>
      <w:pPr>
        <w:pStyle w:val="Normal"/>
        <w:keepNext w:val="true"/>
        <w:pBdr>
          <w:bottom w:val="single" w:sz="8" w:space="4" w:color="000000"/>
        </w:pBdr>
        <w:spacing w:before="220" w:after="100"/>
        <w:jc w:val="both"/>
        <w:rPr>
          <w:rFonts w:ascii="Arial" w:hAnsi="Arial" w:cs="Arial"/>
          <w:sz w:val="24"/>
          <w:szCs w:val="24"/>
          <w:lang w:val="es-CO"/>
        </w:rPr>
      </w:pPr>
      <w:r>
        <w:rPr>
          <w:rFonts w:cs="Arial" w:ascii="Arial" w:hAnsi="Arial"/>
          <w:b/>
          <w:sz w:val="24"/>
          <w:szCs w:val="24"/>
          <w:lang w:val="es-CO"/>
        </w:rPr>
        <w:t>8. NOTIFICACIONES</w:t>
      </w:r>
    </w:p>
    <w:p>
      <w:pPr>
        <w:pStyle w:val="Normal"/>
        <w:spacing w:lineRule="auto" w:line="259" w:before="0" w:after="100"/>
        <w:jc w:val="both"/>
        <w:rPr>
          <w:rFonts w:ascii="Arial" w:hAnsi="Arial" w:cs="Arial"/>
          <w:sz w:val="24"/>
          <w:szCs w:val="24"/>
          <w:lang w:val="es-CO"/>
        </w:rPr>
      </w:pPr>
      <w:r>
        <w:rPr>
          <w:rFonts w:cs="Arial" w:ascii="Arial" w:hAnsi="Arial"/>
          <w:sz w:val="24"/>
          <w:szCs w:val="24"/>
          <w:lang w:val="es-CO"/>
        </w:rPr>
        <w:t>Recibiré notificaciones en el correo electrónico: lacuerpa@riseup.net. Teléfono: 300 783 5088.</w:t>
      </w:r>
    </w:p>
    <w:p>
      <w:pPr>
        <w:pStyle w:val="Normal"/>
        <w:spacing w:before="160" w:after="0"/>
        <w:jc w:val="both"/>
        <w:rPr>
          <w:rFonts w:ascii="Arial" w:hAnsi="Arial" w:cs="Arial"/>
          <w:sz w:val="24"/>
          <w:szCs w:val="24"/>
          <w:lang w:val="es-CO"/>
        </w:rPr>
      </w:pPr>
      <w:r>
        <w:rPr>
          <w:rFonts w:cs="Arial" w:ascii="Arial" w:hAnsi="Arial"/>
          <w:sz w:val="24"/>
          <w:szCs w:val="24"/>
          <w:lang w:val="es-CO"/>
        </w:rPr>
        <w:t>Atentamente,</w:t>
      </w:r>
    </w:p>
    <w:p>
      <w:pPr>
        <w:pStyle w:val="Normal"/>
        <w:spacing w:before="160" w:after="0"/>
        <w:jc w:val="both"/>
        <w:rPr>
          <w:rFonts w:ascii="Arial" w:hAnsi="Arial" w:cs="Arial"/>
          <w:b/>
          <w:b/>
          <w:sz w:val="24"/>
          <w:szCs w:val="24"/>
          <w:lang w:val="es-CO"/>
        </w:rPr>
      </w:pPr>
      <w:r>
        <w:rPr>
          <w:rFonts w:cs="Arial" w:ascii="Arial" w:hAnsi="Arial"/>
          <w:b/>
          <w:sz w:val="24"/>
          <w:szCs w:val="24"/>
          <w:lang w:val="es-CO"/>
        </w:rPr>
      </w:r>
    </w:p>
    <w:p>
      <w:pPr>
        <w:pStyle w:val="Normal"/>
        <w:spacing w:before="160" w:after="0"/>
        <w:jc w:val="both"/>
        <w:rPr>
          <w:rFonts w:ascii="Arial" w:hAnsi="Arial" w:cs="Arial"/>
          <w:b/>
          <w:b/>
          <w:sz w:val="24"/>
          <w:szCs w:val="24"/>
          <w:lang w:val="es-CO"/>
        </w:rPr>
      </w:pPr>
      <w:r>
        <w:rPr>
          <w:rFonts w:cs="Arial" w:ascii="Arial" w:hAnsi="Arial"/>
          <w:b/>
          <w:sz w:val="24"/>
          <w:szCs w:val="24"/>
          <w:lang w:val="es-CO"/>
        </w:rPr>
        <w:drawing>
          <wp:inline distT="0" distB="0" distL="0" distR="0">
            <wp:extent cx="2534920" cy="679450"/>
            <wp:effectExtent l="0" t="0" r="0" b="0"/>
            <wp:docPr id="1" name="Imagen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2" descr=""/>
                    <pic:cNvPicPr>
                      <a:picLocks noChangeAspect="1" noChangeArrowheads="1"/>
                    </pic:cNvPicPr>
                  </pic:nvPicPr>
                  <pic:blipFill>
                    <a:blip r:embed="rId2"/>
                    <a:srcRect l="-14" t="-55" r="-14" b="-55"/>
                    <a:stretch>
                      <a:fillRect/>
                    </a:stretch>
                  </pic:blipFill>
                  <pic:spPr bwMode="auto">
                    <a:xfrm>
                      <a:off x="0" y="0"/>
                      <a:ext cx="2534920" cy="679450"/>
                    </a:xfrm>
                    <a:prstGeom prst="rect">
                      <a:avLst/>
                    </a:prstGeom>
                  </pic:spPr>
                </pic:pic>
              </a:graphicData>
            </a:graphic>
          </wp:inline>
        </w:drawing>
      </w:r>
    </w:p>
    <w:p>
      <w:pPr>
        <w:pStyle w:val="Normal"/>
        <w:spacing w:before="160" w:after="0"/>
        <w:jc w:val="both"/>
        <w:rPr>
          <w:rFonts w:ascii="Arial" w:hAnsi="Arial" w:cs="Arial"/>
          <w:sz w:val="24"/>
          <w:szCs w:val="24"/>
          <w:lang w:val="es-CO"/>
        </w:rPr>
      </w:pPr>
      <w:r>
        <w:rPr>
          <w:rFonts w:cs="Arial" w:ascii="Arial" w:hAnsi="Arial"/>
          <w:b/>
          <w:sz w:val="24"/>
          <w:szCs w:val="24"/>
          <w:lang w:val="es-CO"/>
        </w:rPr>
        <w:t>TATIANA PAOLA HERNÁNDEZ NIETO</w:t>
      </w:r>
    </w:p>
    <w:p>
      <w:pPr>
        <w:pStyle w:val="Normal"/>
        <w:spacing w:before="0" w:after="0"/>
        <w:jc w:val="both"/>
        <w:rPr>
          <w:rFonts w:ascii="Arial" w:hAnsi="Arial" w:cs="Arial"/>
          <w:sz w:val="24"/>
          <w:szCs w:val="24"/>
          <w:lang w:val="es-CO"/>
        </w:rPr>
      </w:pPr>
      <w:r>
        <w:rPr>
          <w:rFonts w:cs="Arial" w:ascii="Arial" w:hAnsi="Arial"/>
          <w:sz w:val="24"/>
          <w:szCs w:val="24"/>
          <w:lang w:val="es-CO"/>
        </w:rPr>
        <w:t>C.C. 43.903.488 de Bello (Antioquia)</w:t>
      </w:r>
    </w:p>
    <w:p>
      <w:pPr>
        <w:pStyle w:val="Normal"/>
        <w:spacing w:before="0" w:after="0"/>
        <w:jc w:val="both"/>
        <w:rPr>
          <w:rFonts w:ascii="Arial" w:hAnsi="Arial" w:cs="Arial"/>
          <w:sz w:val="24"/>
          <w:szCs w:val="24"/>
          <w:lang w:val="es-CO"/>
        </w:rPr>
      </w:pPr>
      <w:r>
        <w:rPr>
          <w:rFonts w:cs="Arial" w:ascii="Arial" w:hAnsi="Arial"/>
          <w:sz w:val="24"/>
          <w:szCs w:val="24"/>
          <w:lang w:val="es-CO"/>
        </w:rPr>
        <w:t>Docente de carrera · Decreto Ley 1278 de 2002</w:t>
      </w:r>
    </w:p>
    <w:p>
      <w:pPr>
        <w:pStyle w:val="Normal"/>
        <w:spacing w:before="120" w:after="0"/>
        <w:jc w:val="both"/>
        <w:rPr>
          <w:rFonts w:ascii="Arial" w:hAnsi="Arial" w:cs="Arial"/>
          <w:sz w:val="16"/>
          <w:szCs w:val="16"/>
          <w:lang w:val="es-CO"/>
        </w:rPr>
      </w:pPr>
      <w:r>
        <w:rPr/>
      </w:r>
    </w:p>
    <w:sectPr>
      <w:headerReference w:type="default" r:id="rId3"/>
      <w:footerReference w:type="default" r:id="rId4"/>
      <w:type w:val="nextPage"/>
      <w:pgSz w:w="12240" w:h="15840"/>
      <w:pgMar w:left="1123" w:right="1037" w:gutter="0" w:header="360" w:top="979" w:footer="403" w:bottom="893"/>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Liberation Sans">
    <w:altName w:val="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tbl>
    <w:tblPr>
      <w:tblW w:w="9432" w:type="dxa"/>
      <w:jc w:val="center"/>
      <w:tblInd w:w="0" w:type="dxa"/>
      <w:tblLayout w:type="fixed"/>
      <w:tblCellMar>
        <w:top w:w="0" w:type="dxa"/>
        <w:left w:w="0" w:type="dxa"/>
        <w:bottom w:w="0" w:type="dxa"/>
        <w:right w:w="0" w:type="dxa"/>
      </w:tblCellMar>
      <w:tblLook w:val="04a0" w:noHBand="0" w:noVBand="1" w:firstColumn="1" w:lastRow="0" w:lastColumn="0" w:firstRow="1"/>
    </w:tblPr>
    <w:tblGrid>
      <w:gridCol w:w="4716"/>
      <w:gridCol w:w="4715"/>
    </w:tblGrid>
    <w:tr>
      <w:trPr/>
      <w:tc>
        <w:tcPr>
          <w:tcW w:w="4716" w:type="dxa"/>
          <w:tcBorders/>
        </w:tcPr>
        <w:p>
          <w:pPr>
            <w:pStyle w:val="Normal"/>
            <w:widowControl w:val="false"/>
            <w:spacing w:before="0" w:after="80"/>
            <w:rPr>
              <w:lang w:val="es-CO"/>
            </w:rPr>
          </w:pPr>
          <w:r>
            <w:rPr>
              <w:sz w:val="16"/>
              <w:lang w:val="es-CO"/>
            </w:rPr>
            <w:t>Tatiana Paola Hernández Nieto · C.C. 43.903.488</w:t>
          </w:r>
        </w:p>
      </w:tc>
      <w:tc>
        <w:tcPr>
          <w:tcW w:w="4715" w:type="dxa"/>
          <w:tcBorders/>
        </w:tcPr>
        <w:p>
          <w:pPr>
            <w:pStyle w:val="Normal"/>
            <w:widowControl w:val="false"/>
            <w:spacing w:before="0" w:after="80"/>
            <w:jc w:val="right"/>
            <w:rPr/>
          </w:pPr>
          <w:r>
            <w:rPr>
              <w:sz w:val="16"/>
            </w:rPr>
            <w:t xml:space="preserve">Página </w:t>
          </w:r>
          <w:r>
            <w:rPr>
              <w:sz w:val="16"/>
            </w:rPr>
            <w:fldChar w:fldCharType="begin"/>
          </w:r>
          <w:r>
            <w:rPr>
              <w:sz w:val="16"/>
            </w:rPr>
            <w:instrText xml:space="preserve"> PAGE </w:instrText>
          </w:r>
          <w:r>
            <w:rPr>
              <w:sz w:val="16"/>
            </w:rPr>
            <w:fldChar w:fldCharType="separate"/>
          </w:r>
          <w:r>
            <w:rPr>
              <w:sz w:val="16"/>
            </w:rPr>
            <w:t>4</w:t>
          </w:r>
          <w:r>
            <w:rPr>
              <w:sz w:val="16"/>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2" w:color="000000"/>
      </w:pBdr>
      <w:jc w:val="right"/>
      <w:rPr>
        <w:lang w:val="es-CO"/>
      </w:rPr>
    </w:pPr>
    <w:r>
      <w:rPr>
        <w:b/>
        <w:sz w:val="16"/>
        <w:lang w:val="es-CO"/>
      </w:rPr>
      <w:t>RECUSACIÓN DE EVALUADORA · EVALUACIÓN ANUAL DE DESEMPEÑO 2025</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widowControl/>
      <w:bidi w:val="0"/>
      <w:spacing w:lineRule="auto" w:line="252" w:before="0" w:after="80"/>
      <w:jc w:val="left"/>
    </w:pPr>
    <w:rPr>
      <w:rFonts w:ascii="Liberation Sans" w:hAnsi="Liberation Sans" w:eastAsia="ＭＳ 明朝" w:cs="" w:cstheme="minorBidi" w:eastAsiaTheme="minorEastAsia"/>
      <w:color w:val="auto"/>
      <w:kern w:val="0"/>
      <w:sz w:val="21"/>
      <w:szCs w:val="22"/>
      <w:lang w:val="en-US" w:eastAsia="en-US" w:bidi="ar-SA"/>
    </w:rPr>
  </w:style>
  <w:style w:type="paragraph" w:styleId="Heading1">
    <w:name w:val="Heading 1"/>
    <w:basedOn w:val="Normal"/>
    <w:next w:val="Normal"/>
    <w:link w:val="Ttulo1C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val="365F91" w:themeColor="accent1" w:themeShade="bf"/>
      <w:sz w:val="28"/>
      <w:szCs w:val="28"/>
    </w:rPr>
  </w:style>
  <w:style w:type="paragraph" w:styleId="Heading2">
    <w:name w:val="Heading 2"/>
    <w:basedOn w:val="Normal"/>
    <w:next w:val="Normal"/>
    <w:link w:val="Ttulo2C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val="4F81BD" w:themeColor="accent1"/>
      <w:sz w:val="26"/>
      <w:szCs w:val="26"/>
    </w:rPr>
  </w:style>
  <w:style w:type="paragraph" w:styleId="Heading3">
    <w:name w:val="Heading 3"/>
    <w:basedOn w:val="Normal"/>
    <w:next w:val="Normal"/>
    <w:link w:val="Ttulo3C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val="4F81BD" w:themeColor="accent1"/>
    </w:rPr>
  </w:style>
  <w:style w:type="paragraph" w:styleId="Heading4">
    <w:name w:val="Heading 4"/>
    <w:basedOn w:val="Normal"/>
    <w:next w:val="Normal"/>
    <w:link w:val="Ttulo4C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val="4F81BD" w:themeColor="accent1"/>
    </w:rPr>
  </w:style>
  <w:style w:type="paragraph" w:styleId="Heading5">
    <w:name w:val="Heading 5"/>
    <w:basedOn w:val="Normal"/>
    <w:next w:val="Normal"/>
    <w:link w:val="Ttulo5C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val="243F60" w:themeColor="accent1" w:themeShade="7f"/>
    </w:rPr>
  </w:style>
  <w:style w:type="paragraph" w:styleId="Heading6">
    <w:name w:val="Heading 6"/>
    <w:basedOn w:val="Normal"/>
    <w:next w:val="Normal"/>
    <w:link w:val="Ttulo6C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val="243F60" w:themeColor="accent1" w:themeShade="7f"/>
    </w:rPr>
  </w:style>
  <w:style w:type="paragraph" w:styleId="Heading7">
    <w:name w:val="Heading 7"/>
    <w:basedOn w:val="Normal"/>
    <w:next w:val="Normal"/>
    <w:link w:val="Ttulo7C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val="404040" w:themeColor="text1" w:themeTint="bf"/>
    </w:rPr>
  </w:style>
  <w:style w:type="paragraph" w:styleId="Heading8">
    <w:name w:val="Heading 8"/>
    <w:basedOn w:val="Normal"/>
    <w:next w:val="Normal"/>
    <w:link w:val="Ttulo8C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val="4F81BD" w:themeColor="accent1"/>
      <w:sz w:val="20"/>
      <w:szCs w:val="20"/>
    </w:rPr>
  </w:style>
  <w:style w:type="paragraph" w:styleId="Heading9">
    <w:name w:val="Heading 9"/>
    <w:basedOn w:val="Normal"/>
    <w:next w:val="Normal"/>
    <w:link w:val="Ttulo9C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DefaultParagraphFont" w:default="1">
    <w:name w:val="Default Paragraph Font"/>
    <w:uiPriority w:val="1"/>
    <w:unhideWhenUsed/>
    <w:qFormat/>
    <w:rPr/>
  </w:style>
  <w:style w:type="character" w:styleId="EncabezadoCar" w:customStyle="1">
    <w:name w:val="Encabezado Car"/>
    <w:basedOn w:val="DefaultParagraphFont"/>
    <w:link w:val="Header"/>
    <w:uiPriority w:val="99"/>
    <w:qFormat/>
    <w:rsid w:val="00e618bf"/>
    <w:rPr/>
  </w:style>
  <w:style w:type="character" w:styleId="PiedepginaCar" w:customStyle="1">
    <w:name w:val="Pie de página Car"/>
    <w:basedOn w:val="DefaultParagraphFont"/>
    <w:link w:val="Footer"/>
    <w:uiPriority w:val="99"/>
    <w:qFormat/>
    <w:rsid w:val="00e618bf"/>
    <w:rPr/>
  </w:style>
  <w:style w:type="character" w:styleId="Ttulo1Car" w:customStyle="1">
    <w:name w:val="Título 1 C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val="365F91" w:themeColor="accent1" w:themeShade="bf"/>
      <w:sz w:val="28"/>
      <w:szCs w:val="28"/>
    </w:rPr>
  </w:style>
  <w:style w:type="character" w:styleId="Ttulo2Car" w:customStyle="1">
    <w:name w:val="Título 2 C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val="4F81BD" w:themeColor="accent1"/>
      <w:sz w:val="26"/>
      <w:szCs w:val="26"/>
    </w:rPr>
  </w:style>
  <w:style w:type="character" w:styleId="Ttulo3Car" w:customStyle="1">
    <w:name w:val="Título 3 C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val="4F81BD" w:themeColor="accent1"/>
    </w:rPr>
  </w:style>
  <w:style w:type="character" w:styleId="TtuloCar" w:customStyle="1">
    <w:name w:val="Título Car"/>
    <w:basedOn w:val="DefaultParagraphFont"/>
    <w:link w:val="Title"/>
    <w:uiPriority w:val="10"/>
    <w:qFormat/>
    <w:rsid w:val="00fc693f"/>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character" w:styleId="SubttuloCar" w:customStyle="1">
    <w:name w:val="Subtítulo C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val="4F81BD" w:themeColor="accent1"/>
      <w:spacing w:val="15"/>
      <w:sz w:val="24"/>
      <w:szCs w:val="24"/>
    </w:rPr>
  </w:style>
  <w:style w:type="character" w:styleId="TextoindependienteCar" w:customStyle="1">
    <w:name w:val="Texto independiente Car"/>
    <w:basedOn w:val="DefaultParagraphFont"/>
    <w:uiPriority w:val="99"/>
    <w:qFormat/>
    <w:rsid w:val="00aa1d8d"/>
    <w:rPr/>
  </w:style>
  <w:style w:type="character" w:styleId="Textoindependiente2Car" w:customStyle="1">
    <w:name w:val="Texto independiente 2 Car"/>
    <w:basedOn w:val="DefaultParagraphFont"/>
    <w:link w:val="BodyText2"/>
    <w:uiPriority w:val="99"/>
    <w:qFormat/>
    <w:rsid w:val="00aa1d8d"/>
    <w:rPr/>
  </w:style>
  <w:style w:type="character" w:styleId="Textoindependiente3Car" w:customStyle="1">
    <w:name w:val="Texto independiente 3 Car"/>
    <w:basedOn w:val="DefaultParagraphFont"/>
    <w:link w:val="BodyText3"/>
    <w:uiPriority w:val="99"/>
    <w:qFormat/>
    <w:rsid w:val="00aa1d8d"/>
    <w:rPr>
      <w:sz w:val="16"/>
      <w:szCs w:val="16"/>
    </w:rPr>
  </w:style>
  <w:style w:type="character" w:styleId="TextomacroCar" w:customStyle="1">
    <w:name w:val="Texto macro Car"/>
    <w:basedOn w:val="DefaultParagraphFont"/>
    <w:link w:val="Macro"/>
    <w:uiPriority w:val="99"/>
    <w:qFormat/>
    <w:rsid w:val="0029639d"/>
    <w:rPr>
      <w:rFonts w:ascii="Courier" w:hAnsi="Courier"/>
      <w:sz w:val="20"/>
      <w:szCs w:val="20"/>
    </w:rPr>
  </w:style>
  <w:style w:type="character" w:styleId="CitaCar" w:customStyle="1">
    <w:name w:val="Cita Car"/>
    <w:basedOn w:val="DefaultParagraphFont"/>
    <w:link w:val="Quote"/>
    <w:uiPriority w:val="29"/>
    <w:qFormat/>
    <w:rsid w:val="00fc693f"/>
    <w:rPr>
      <w:i/>
      <w:iCs/>
      <w:color w:val="000000" w:themeColor="text1"/>
    </w:rPr>
  </w:style>
  <w:style w:type="character" w:styleId="Ttulo4Car" w:customStyle="1">
    <w:name w:val="Título 4 C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val="4F81BD" w:themeColor="accent1"/>
    </w:rPr>
  </w:style>
  <w:style w:type="character" w:styleId="Ttulo5Car" w:customStyle="1">
    <w:name w:val="Título 5 C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val="243F60" w:themeColor="accent1" w:themeShade="7f"/>
    </w:rPr>
  </w:style>
  <w:style w:type="character" w:styleId="Ttulo6Car" w:customStyle="1">
    <w:name w:val="Título 6 C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val="243F60" w:themeColor="accent1" w:themeShade="7f"/>
    </w:rPr>
  </w:style>
  <w:style w:type="character" w:styleId="Ttulo7Car" w:customStyle="1">
    <w:name w:val="Título 7 C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rPr>
  </w:style>
  <w:style w:type="character" w:styleId="Ttulo8Car" w:customStyle="1">
    <w:name w:val="Título 8 C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val="4F81BD" w:themeColor="accent1"/>
      <w:sz w:val="20"/>
      <w:szCs w:val="20"/>
    </w:rPr>
  </w:style>
  <w:style w:type="character" w:styleId="Ttulo9Car" w:customStyle="1">
    <w:name w:val="Título 9 C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CitadestacadaCar" w:customStyle="1">
    <w:name w:val="Cita destacada C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TextBody">
    <w:name w:val="Body Text"/>
    <w:basedOn w:val="Normal"/>
    <w:link w:val="TextoindependienteCar"/>
    <w:uiPriority w:val="99"/>
    <w:unhideWhenUsed/>
    <w:rsid w:val="00aa1d8d"/>
    <w:pPr>
      <w:spacing w:before="0" w:after="120"/>
    </w:pPr>
    <w:rPr/>
  </w:style>
  <w:style w:type="paragraph" w:styleId="List">
    <w:name w:val="List"/>
    <w:basedOn w:val="Normal"/>
    <w:uiPriority w:val="99"/>
    <w:unhideWhenUsed/>
    <w:rsid w:val="00aa1d8d"/>
    <w:pPr>
      <w:spacing w:before="0" w:after="80"/>
      <w:ind w:left="360" w:hanging="360"/>
      <w:contextualSpacing/>
    </w:pPr>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rPr/>
  </w:style>
  <w:style w:type="paragraph" w:styleId="Header">
    <w:name w:val="Header"/>
    <w:basedOn w:val="Normal"/>
    <w:link w:val="EncabezadoC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PiedepginaC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tuloCar"/>
    <w:uiPriority w:val="10"/>
    <w:qFormat/>
    <w:rsid w:val="00fc693f"/>
    <w:pPr>
      <w:pBdr>
        <w:bottom w:val="single" w:sz="8" w:space="4" w:color="4F81BD"/>
      </w:pBdr>
      <w:spacing w:lineRule="auto" w:line="240" w:before="0" w:after="300"/>
      <w:contextualSpacing/>
    </w:pPr>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paragraph" w:styleId="Subtitle">
    <w:name w:val="Subtitle"/>
    <w:basedOn w:val="Normal"/>
    <w:next w:val="Normal"/>
    <w:link w:val="SubttuloCar"/>
    <w:uiPriority w:val="11"/>
    <w:qFormat/>
    <w:rsid w:val="00fc693f"/>
    <w:pPr/>
    <w:rPr>
      <w:rFonts w:ascii="Calibri" w:hAnsi="Calibri" w:eastAsia="ＭＳ ゴシック" w:c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rsid w:val="00fc693f"/>
    <w:pPr>
      <w:spacing w:before="0" w:after="80"/>
      <w:ind w:left="720" w:hanging="0"/>
      <w:contextualSpacing/>
    </w:pPr>
    <w:rPr/>
  </w:style>
  <w:style w:type="paragraph" w:styleId="BodyText2">
    <w:name w:val="Body Text 2"/>
    <w:basedOn w:val="Normal"/>
    <w:link w:val="Textoindependiente2Car"/>
    <w:uiPriority w:val="99"/>
    <w:unhideWhenUsed/>
    <w:qFormat/>
    <w:rsid w:val="00aa1d8d"/>
    <w:pPr>
      <w:spacing w:lineRule="auto" w:line="480" w:before="0" w:after="120"/>
    </w:pPr>
    <w:rPr/>
  </w:style>
  <w:style w:type="paragraph" w:styleId="BodyText3">
    <w:name w:val="Body Text 3"/>
    <w:basedOn w:val="Normal"/>
    <w:link w:val="Textoindependiente3Car"/>
    <w:uiPriority w:val="99"/>
    <w:unhideWhenUsed/>
    <w:qFormat/>
    <w:rsid w:val="00aa1d8d"/>
    <w:pPr>
      <w:spacing w:before="0" w:after="120"/>
    </w:pPr>
    <w:rPr>
      <w:sz w:val="16"/>
      <w:szCs w:val="16"/>
    </w:rPr>
  </w:style>
  <w:style w:type="paragraph" w:styleId="List2">
    <w:name w:val="List Bullet 3"/>
    <w:basedOn w:val="Normal"/>
    <w:uiPriority w:val="99"/>
    <w:unhideWhenUsed/>
    <w:rsid w:val="00326f90"/>
    <w:pPr>
      <w:spacing w:before="0" w:after="80"/>
      <w:ind w:left="720" w:hanging="360"/>
      <w:contextualSpacing/>
    </w:pPr>
    <w:rPr/>
  </w:style>
  <w:style w:type="paragraph" w:styleId="List3">
    <w:name w:val="List Bullet 4"/>
    <w:basedOn w:val="Normal"/>
    <w:uiPriority w:val="99"/>
    <w:unhideWhenUsed/>
    <w:rsid w:val="00326f90"/>
    <w:pPr>
      <w:spacing w:before="0" w:after="80"/>
      <w:ind w:left="1080" w:hanging="360"/>
      <w:contextualSpacing/>
    </w:pPr>
    <w:rPr/>
  </w:style>
  <w:style w:type="paragraph" w:styleId="ListBullet">
    <w:name w:val="List Bullet"/>
    <w:basedOn w:val="Normal"/>
    <w:uiPriority w:val="99"/>
    <w:unhideWhenUsed/>
    <w:qFormat/>
    <w:rsid w:val="00326f90"/>
    <w:pPr>
      <w:numPr>
        <w:ilvl w:val="0"/>
        <w:numId w:val="1"/>
      </w:numPr>
      <w:spacing w:before="0" w:after="80"/>
      <w:contextualSpacing/>
    </w:pPr>
    <w:rPr/>
  </w:style>
  <w:style w:type="paragraph" w:styleId="ListBullet2">
    <w:name w:val="List Bullet 2"/>
    <w:basedOn w:val="Normal"/>
    <w:uiPriority w:val="99"/>
    <w:unhideWhenUsed/>
    <w:qFormat/>
    <w:rsid w:val="00326f90"/>
    <w:pPr>
      <w:numPr>
        <w:ilvl w:val="0"/>
        <w:numId w:val="2"/>
      </w:numPr>
      <w:spacing w:before="0" w:after="80"/>
      <w:contextualSpacing/>
    </w:pPr>
    <w:rPr/>
  </w:style>
  <w:style w:type="paragraph" w:styleId="ListBullet3">
    <w:name w:val="List Bullet 3"/>
    <w:basedOn w:val="Normal"/>
    <w:uiPriority w:val="99"/>
    <w:unhideWhenUsed/>
    <w:qFormat/>
    <w:rsid w:val="00326f90"/>
    <w:pPr>
      <w:numPr>
        <w:ilvl w:val="0"/>
        <w:numId w:val="3"/>
      </w:numPr>
      <w:spacing w:before="0" w:after="80"/>
      <w:contextualSpacing/>
    </w:pPr>
    <w:rPr/>
  </w:style>
  <w:style w:type="paragraph" w:styleId="ListNumber">
    <w:name w:val="List Number"/>
    <w:basedOn w:val="Normal"/>
    <w:uiPriority w:val="99"/>
    <w:unhideWhenUsed/>
    <w:qFormat/>
    <w:rsid w:val="00326f90"/>
    <w:pPr>
      <w:numPr>
        <w:ilvl w:val="0"/>
        <w:numId w:val="4"/>
      </w:numPr>
      <w:spacing w:before="0" w:after="80"/>
      <w:contextualSpacing/>
    </w:pPr>
    <w:rPr/>
  </w:style>
  <w:style w:type="paragraph" w:styleId="ListNumber2">
    <w:name w:val="List Number 2"/>
    <w:basedOn w:val="Normal"/>
    <w:uiPriority w:val="99"/>
    <w:unhideWhenUsed/>
    <w:qFormat/>
    <w:rsid w:val="0029639d"/>
    <w:pPr>
      <w:numPr>
        <w:ilvl w:val="0"/>
        <w:numId w:val="5"/>
      </w:numPr>
      <w:spacing w:before="0" w:after="80"/>
      <w:contextualSpacing/>
    </w:pPr>
    <w:rPr/>
  </w:style>
  <w:style w:type="paragraph" w:styleId="ListNumber3">
    <w:name w:val="List Number 3"/>
    <w:basedOn w:val="Normal"/>
    <w:uiPriority w:val="99"/>
    <w:unhideWhenUsed/>
    <w:qFormat/>
    <w:rsid w:val="0029639d"/>
    <w:pPr>
      <w:numPr>
        <w:ilvl w:val="0"/>
        <w:numId w:val="6"/>
      </w:numPr>
      <w:spacing w:before="0" w:after="80"/>
      <w:contextualSpacing/>
    </w:pPr>
    <w:rPr/>
  </w:style>
  <w:style w:type="paragraph" w:styleId="ListContinue">
    <w:name w:val="List Continue"/>
    <w:basedOn w:val="Normal"/>
    <w:uiPriority w:val="99"/>
    <w:unhideWhenUsed/>
    <w:qFormat/>
    <w:rsid w:val="0029639d"/>
    <w:pPr>
      <w:spacing w:before="0" w:after="120"/>
      <w:ind w:left="360" w:hanging="0"/>
      <w:contextualSpacing/>
    </w:pPr>
    <w:rPr/>
  </w:style>
  <w:style w:type="paragraph" w:styleId="ListContinue2">
    <w:name w:val="List Continue 2"/>
    <w:basedOn w:val="Normal"/>
    <w:uiPriority w:val="99"/>
    <w:unhideWhenUsed/>
    <w:qFormat/>
    <w:rsid w:val="0029639d"/>
    <w:pPr>
      <w:spacing w:before="0" w:after="120"/>
      <w:ind w:left="720" w:hanging="0"/>
      <w:contextualSpacing/>
    </w:pPr>
    <w:rPr/>
  </w:style>
  <w:style w:type="paragraph" w:styleId="ListContinue3">
    <w:name w:val="List Continue 3"/>
    <w:basedOn w:val="Normal"/>
    <w:uiPriority w:val="99"/>
    <w:unhideWhenUsed/>
    <w:qFormat/>
    <w:rsid w:val="0029639d"/>
    <w:pPr>
      <w:spacing w:before="0" w:after="120"/>
      <w:ind w:left="1080" w:hanging="0"/>
      <w:contextualSpacing/>
    </w:pPr>
    <w:rPr/>
  </w:style>
  <w:style w:type="paragraph" w:styleId="Macro">
    <w:name w:val="macro"/>
    <w:link w:val="TextomacroC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CitaCar"/>
    <w:uiPriority w:val="29"/>
    <w:qFormat/>
    <w:rsid w:val="00fc693f"/>
    <w:pPr/>
    <w:rPr>
      <w:i/>
      <w:iCs/>
      <w:color w:val="000000" w:themeColor="text1"/>
    </w:rPr>
  </w:style>
  <w:style w:type="paragraph" w:styleId="Caption1">
    <w:name w:val="caption"/>
    <w:basedOn w:val="Normal"/>
    <w:next w:val="Normal"/>
    <w:uiPriority w:val="35"/>
    <w:semiHidden/>
    <w:unhideWhenUsed/>
    <w:qFormat/>
    <w:rsid w:val="00fc693f"/>
    <w:pPr>
      <w:spacing w:lineRule="auto" w:line="240"/>
    </w:pPr>
    <w:rPr>
      <w:b/>
      <w:bCs/>
      <w:color w:val="4F81BD" w:themeColor="accent1"/>
      <w:sz w:val="18"/>
      <w:szCs w:val="18"/>
    </w:rPr>
  </w:style>
  <w:style w:type="paragraph" w:styleId="IntenseQuote">
    <w:name w:val="Intense Quote"/>
    <w:basedOn w:val="Normal"/>
    <w:next w:val="Normal"/>
    <w:link w:val="CitadestacadaCar"/>
    <w:uiPriority w:val="30"/>
    <w:qFormat/>
    <w:rsid w:val="00fc693f"/>
    <w:pPr>
      <w:pBdr>
        <w:bottom w:val="single" w:sz="4" w:space="4" w:color="4F81BD"/>
      </w:pBdr>
      <w:spacing w:before="200" w:after="280"/>
      <w:ind w:left="936" w:right="936" w:hanging="0"/>
    </w:pPr>
    <w:rPr>
      <w:b/>
      <w:bCs/>
      <w:i/>
      <w:iCs/>
      <w:color w:val="4F81BD" w:themeColor="accent1"/>
    </w:rPr>
  </w:style>
  <w:style w:type="paragraph" w:styleId="IndexHeading">
    <w:name w:val="Index Heading"/>
    <w:basedOn w:val="Heading"/>
    <w:pPr/>
    <w:rPr/>
  </w:style>
  <w:style w:type="paragraph" w:styleId="Contents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styleId="Tablaconcuadrcula">
    <w:name w:val="Table Grid"/>
    <w:basedOn w:val="Tabla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Tablanormal1">
    <w:name w:val="Plain Table 1"/>
    <w:basedOn w:val="Tablanormal"/>
    <w:uiPriority w:val="99"/>
    <w:rsid w:val="00205693"/>
    <w:pPr>
      <w:spacing w:after="0" w:line="240" w:lineRule="auto"/>
    </w:pPr>
    <w:tblPr>
      <w:tblStyleRowBandSize w:val="1"/>
      <w:tblStyleColBandSize w:val="1"/>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tblStylePr w:type="firstRow">
      <w:rPr>
        <w:b/>
        <w:bCs/>
      </w:rPr>
      <w:tblPr/>
    </w:tblStylePr>
    <w:tblStylePr w:type="lastRow">
      <w:rPr>
        <w:b/>
        <w:bCs/>
      </w:rPr>
      <w:tblPr/>
      <w:tcPr>
        <w:tcBorders>
          <w:top w:val="double" w:color="BFBFBF" w:themeColor="background1" w:sz="4" w:space="0"/>
        </w:tcBorders>
      </w:tc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1173</TotalTime>
  <Application>LibreOffice/7.4.7.2$Linux_X86_64 LibreOffice_project/40$Build-2</Application>
  <AppVersion>15.0000</AppVersion>
  <Pages>5</Pages>
  <Words>1405</Words>
  <Characters>8055</Characters>
  <CharactersWithSpaces>9367</CharactersWithSpaces>
  <Paragraphs>90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Tatiana Paola Hernández Nieto</dc:creator>
  <dc:description>generated by python-docx</dc:description>
  <cp:keywords>recusación evaluación docente Decreto 1278 Decreto 1075 Rionegro</cp:keywords>
  <dc:language>es-CO</dc:language>
  <cp:lastModifiedBy/>
  <dcterms:modified xsi:type="dcterms:W3CDTF">2026-08-20T10:08:00Z</dcterms:modified>
  <cp:revision>11</cp:revision>
  <dc:subject>Evaluación Anual de Desempeño Laboral 2025</dc:subject>
  <dc:title>Recusación de evaluadora - Tatiana Paola Hernández Nieto</dc:title>
</cp:coreProperties>
</file>

<file path=docProps/custom.xml><?xml version="1.0" encoding="utf-8"?>
<Properties xmlns="http://schemas.openxmlformats.org/officeDocument/2006/custom-properties" xmlns:vt="http://schemas.openxmlformats.org/officeDocument/2006/docPropsVTypes"/>
</file>